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wmf" ContentType="image/x-wmf"/>
  <Default Extension="emf" ContentType="image/x-emf"/>
  <Override PartName="/word/theme/themeOverride1.xml" ContentType="application/vnd.openxmlformats-officedocument.themeOverride+xml"/>
  <Override PartName="/word/header1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2941" w:rsidRPr="00612923" w:rsidRDefault="00891B6B" w:rsidP="002436C1">
      <w:pPr>
        <w:pStyle w:val="TableFigureCaption"/>
      </w:pPr>
      <w:r w:rsidRPr="00612923">
        <w:rPr>
          <w:noProof/>
        </w:rPr>
        <w:drawing>
          <wp:anchor distT="0" distB="0" distL="114300" distR="114300" simplePos="0" relativeHeight="251672576" behindDoc="0" locked="0" layoutInCell="1" allowOverlap="1">
            <wp:simplePos x="0" y="0"/>
            <wp:positionH relativeFrom="column">
              <wp:posOffset>-145156</wp:posOffset>
            </wp:positionH>
            <wp:positionV relativeFrom="paragraph">
              <wp:posOffset>38636</wp:posOffset>
            </wp:positionV>
            <wp:extent cx="4269615" cy="695460"/>
            <wp:effectExtent l="19050" t="0" r="0" b="0"/>
            <wp:wrapNone/>
            <wp:docPr id="1" name="Picture 1"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C Logo NEW PURPLE 2007"/>
                    <pic:cNvPicPr>
                      <a:picLocks noChangeAspect="1" noChangeArrowheads="1"/>
                    </pic:cNvPicPr>
                  </pic:nvPicPr>
                  <pic:blipFill>
                    <a:blip r:embed="rId8" cstate="print"/>
                    <a:srcRect t="21506"/>
                    <a:stretch>
                      <a:fillRect/>
                    </a:stretch>
                  </pic:blipFill>
                  <pic:spPr bwMode="auto">
                    <a:xfrm>
                      <a:off x="0" y="0"/>
                      <a:ext cx="4269615" cy="695460"/>
                    </a:xfrm>
                    <a:prstGeom prst="rect">
                      <a:avLst/>
                    </a:prstGeom>
                    <a:noFill/>
                    <a:ln w="9525">
                      <a:noFill/>
                      <a:miter lim="800000"/>
                      <a:headEnd/>
                      <a:tailEnd/>
                    </a:ln>
                  </pic:spPr>
                </pic:pic>
              </a:graphicData>
            </a:graphic>
          </wp:anchor>
        </w:drawing>
      </w:r>
    </w:p>
    <w:p w:rsidR="002A6B02" w:rsidRPr="00612923" w:rsidRDefault="002A6B02"/>
    <w:p w:rsidR="002A6B02" w:rsidRPr="00612923" w:rsidRDefault="002A6B02" w:rsidP="00AB380F">
      <w:pPr>
        <w:tabs>
          <w:tab w:val="left" w:pos="8550"/>
        </w:tabs>
      </w:pPr>
    </w:p>
    <w:p w:rsidR="002A6B02" w:rsidRPr="00612923" w:rsidRDefault="002A6B02"/>
    <w:p w:rsidR="002A6B02" w:rsidRPr="00612923" w:rsidRDefault="00071D48" w:rsidP="00AB380F">
      <w:r>
        <w:rPr>
          <w:noProof/>
        </w:rPr>
        <w:pict>
          <v:shapetype id="_x0000_t202" coordsize="21600,21600" o:spt="202" path="m,l,21600r21600,l21600,xe">
            <v:stroke joinstyle="miter"/>
            <v:path gradientshapeok="t" o:connecttype="rect"/>
          </v:shapetype>
          <v:shape id="Text Box 12" o:spid="_x0000_s1026" type="#_x0000_t202" style="position:absolute;margin-left:-.8pt;margin-top:24.9pt;width:434pt;height:66.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" fillcolor="#433b67" stroked="f" strokecolor="white [3212]" strokeweight="0">
            <v:shadow color="#3f3151 [1607]" opacity=".5" offset="1pt"/>
            <v:textbox>
              <w:txbxContent>
                <w:p w:rsidR="002C2C20" w:rsidRPr="00A53378" w:rsidRDefault="002C2C20" w:rsidP="00F24446">
                  <w:pPr>
                    <w:pStyle w:val="TitleProposal"/>
                    <w:spacing w:before="200" w:after="200"/>
                    <w:rPr>
                      <w:rFonts w:ascii="Arial Black" w:hAnsi="Arial Black"/>
                      <w:color w:val="FFFFFF" w:themeColor="background1"/>
                      <w:sz w:val="24"/>
                      <w:szCs w:val="24"/>
                    </w:rPr>
                  </w:pPr>
                  <w:r w:rsidRPr="00A53378">
                    <w:rPr>
                      <w:rFonts w:ascii="Arial Black" w:hAnsi="Arial Black"/>
                      <w:color w:val="FFFFFF" w:themeColor="background1"/>
                      <w:sz w:val="24"/>
                      <w:szCs w:val="24"/>
                    </w:rPr>
                    <w:t>2012 Load Impact Evaluation of Pacific Gas and Electric Company's Residential Time-based Pricing Programs</w:t>
                  </w:r>
                </w:p>
              </w:txbxContent>
            </v:textbox>
          </v:shape>
        </w:pict>
      </w:r>
    </w:p>
    <w:p w:rsidR="002A6B02" w:rsidRPr="00612923" w:rsidRDefault="002A6B02"/>
    <w:p w:rsidR="002A6B02" w:rsidRPr="00612923" w:rsidRDefault="002A6B02"/>
    <w:p w:rsidR="002A6B02" w:rsidRPr="00612923" w:rsidRDefault="00B86C76">
      <w:r w:rsidRPr="00612923">
        <w:rPr>
          <w:noProof/>
        </w:rPr>
        <w:drawing>
          <wp:anchor distT="0" distB="0" distL="114300" distR="114300" simplePos="0" relativeHeight="251687936" behindDoc="1" locked="0" layoutInCell="1" allowOverlap="1">
            <wp:simplePos x="0" y="0"/>
            <wp:positionH relativeFrom="column">
              <wp:posOffset>2868501</wp:posOffset>
            </wp:positionH>
            <wp:positionV relativeFrom="paragraph">
              <wp:posOffset>221687</wp:posOffset>
            </wp:positionV>
            <wp:extent cx="2633998" cy="1674253"/>
            <wp:effectExtent l="19050" t="0" r="0" b="0"/>
            <wp:wrapNone/>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t="27374"/>
                    <a:stretch>
                      <a:fillRect/>
                    </a:stretch>
                  </pic:blipFill>
                  <pic:spPr bwMode="auto">
                    <a:xfrm>
                      <a:off x="0" y="0"/>
                      <a:ext cx="2633998" cy="1674253"/>
                    </a:xfrm>
                    <a:prstGeom prst="rect">
                      <a:avLst/>
                    </a:prstGeom>
                    <a:noFill/>
                    <a:ln w="9525">
                      <a:noFill/>
                      <a:miter lim="800000"/>
                      <a:headEnd/>
                      <a:tailEnd/>
                    </a:ln>
                  </pic:spPr>
                </pic:pic>
              </a:graphicData>
            </a:graphic>
          </wp:anchor>
        </w:drawing>
      </w:r>
      <w:r w:rsidR="00071D48">
        <w:rPr>
          <w:noProof/>
        </w:rPr>
        <w:pict>
          <v:shapetype id="_x0000_t32" coordsize="21600,21600" o:spt="32" o:oned="t" path="m,l21600,21600e" filled="f">
            <v:path arrowok="t" fillok="f" o:connecttype="none"/>
            <o:lock v:ext="edit" shapetype="t"/>
          </v:shapetype>
          <v:shape id="AutoShape 26" o:spid="_x0000_s1036" type="#_x0000_t32" style="position:absolute;margin-left:-367.2pt;margin-top:14.9pt;width:55.1pt;height:2666.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" strokecolor="black [3213]" strokeweight="1pt">
            <v:shadow color="#3f3151 [1607]" opacity=".5" offset="1pt"/>
          </v:shape>
        </w:pict>
      </w:r>
    </w:p>
    <w:p w:rsidR="002A6B02" w:rsidRPr="00612923" w:rsidRDefault="00071D48">
      <w:r>
        <w:rPr>
          <w:noProof/>
        </w:rPr>
        <w:pict>
          <v:shape id="Text Box 13" o:spid="_x0000_s1027" type="#_x0000_t202" style="position:absolute;margin-left:-.95pt;margin-top:12.45pt;width:218.2pt;height:66.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" fillcolor="white [3212]" stroked="f" strokecolor="#f2f2f2 [3041]" strokeweight="3pt">
            <v:shadow color="#7f7f7f [1601]" opacity=".5" offset="1pt"/>
            <v:textbox>
              <w:txbxContent>
                <w:p w:rsidR="002C2C20" w:rsidRPr="00334712" w:rsidRDefault="002C2C20" w:rsidP="00AB380F">
                  <w:pPr>
                    <w:pStyle w:val="PreparedFor"/>
                    <w:spacing w:before="0" w:after="0"/>
                    <w:jc w:val="left"/>
                    <w:rPr>
                      <w:rFonts w:cs="Arial"/>
                      <w:sz w:val="24"/>
                      <w:szCs w:val="24"/>
                    </w:rPr>
                  </w:pPr>
                  <w:r w:rsidRPr="00334712">
                    <w:rPr>
                      <w:rFonts w:cs="Arial"/>
                      <w:sz w:val="24"/>
                      <w:szCs w:val="24"/>
                    </w:rPr>
                    <w:t>Prepared for:</w:t>
                  </w:r>
                </w:p>
                <w:p w:rsidR="002C2C20" w:rsidRPr="00334712" w:rsidRDefault="002C2C20" w:rsidP="00AB380F">
                  <w:pPr>
                    <w:pStyle w:val="PreparedForCompany"/>
                    <w:jc w:val="left"/>
                    <w:rPr>
                      <w:rFonts w:cs="Arial"/>
                      <w:sz w:val="24"/>
                    </w:rPr>
                  </w:pPr>
                  <w:r>
                    <w:rPr>
                      <w:rFonts w:cs="Arial"/>
                      <w:sz w:val="24"/>
                    </w:rPr>
                    <w:t>Gil Wong</w:t>
                  </w:r>
                </w:p>
                <w:p w:rsidR="002C2C20" w:rsidRPr="00334712" w:rsidRDefault="002C2C20" w:rsidP="00AB380F">
                  <w:pPr>
                    <w:pStyle w:val="PreparedForCompany"/>
                    <w:jc w:val="left"/>
                    <w:rPr>
                      <w:rFonts w:cs="Arial"/>
                      <w:sz w:val="24"/>
                    </w:rPr>
                  </w:pPr>
                  <w:r>
                    <w:rPr>
                      <w:rFonts w:cs="Arial"/>
                      <w:sz w:val="24"/>
                    </w:rPr>
                    <w:t>Pacific Gas and Electric Company</w:t>
                  </w:r>
                </w:p>
              </w:txbxContent>
            </v:textbox>
          </v:shape>
        </w:pict>
      </w:r>
      <w:r w:rsidR="00B43025">
        <w:t xml:space="preserve">CALMAC ID </w:t>
      </w:r>
      <w:r w:rsidR="00B43025" w:rsidRPr="003719C1">
        <w:rPr>
          <w:rFonts w:ascii="Calibri" w:hAnsi="Calibri"/>
          <w:color w:val="000000" w:themeColor="text1"/>
        </w:rPr>
        <w:t>PGE0323</w:t>
      </w:r>
    </w:p>
    <w:p w:rsidR="002A6B02" w:rsidRPr="00612923" w:rsidRDefault="002A6B02"/>
    <w:p w:rsidR="002A6B02" w:rsidRPr="00612923" w:rsidRDefault="002A6B02"/>
    <w:p w:rsidR="002A6B02" w:rsidRPr="00612923" w:rsidRDefault="00071D48">
      <w:r>
        <w:rPr>
          <w:noProof/>
        </w:rPr>
        <w:pict>
          <v:shape id="Text Box 14" o:spid="_x0000_s1028" type="#_x0000_t202" style="position:absolute;margin-left:-.95pt;margin-top:22.5pt;width:208.2pt;height:3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" fillcolor="white [3212]" stroked="f" strokecolor="#f2f2f2 [3041]" strokeweight="3pt">
            <v:shadow color="#622423 [1605]" opacity=".5" offset="1pt"/>
            <v:textbox>
              <w:txbxContent>
                <w:p w:rsidR="002C2C20" w:rsidRPr="00334712" w:rsidRDefault="002C2C20" w:rsidP="00AB380F">
                  <w:pPr>
                    <w:pStyle w:val="TitleProposal"/>
                    <w:rPr>
                      <w:b w:val="0"/>
                      <w:color w:val="auto"/>
                      <w:sz w:val="24"/>
                      <w:szCs w:val="24"/>
                    </w:rPr>
                  </w:pPr>
                  <w:r>
                    <w:rPr>
                      <w:b w:val="0"/>
                      <w:color w:val="auto"/>
                      <w:sz w:val="24"/>
                      <w:szCs w:val="24"/>
                    </w:rPr>
                    <w:t>April 1</w:t>
                  </w:r>
                  <w:r w:rsidRPr="00334712">
                    <w:rPr>
                      <w:b w:val="0"/>
                      <w:color w:val="auto"/>
                      <w:sz w:val="24"/>
                      <w:szCs w:val="24"/>
                    </w:rPr>
                    <w:t xml:space="preserve">, </w:t>
                  </w:r>
                  <w:r>
                    <w:rPr>
                      <w:b w:val="0"/>
                      <w:color w:val="auto"/>
                      <w:sz w:val="24"/>
                      <w:szCs w:val="24"/>
                    </w:rPr>
                    <w:t>2013</w:t>
                  </w:r>
                </w:p>
              </w:txbxContent>
            </v:textbox>
          </v:shape>
        </w:pict>
      </w:r>
    </w:p>
    <w:p w:rsidR="002A6B02" w:rsidRPr="00612923" w:rsidRDefault="002A6B02"/>
    <w:p w:rsidR="00CF7B44" w:rsidRPr="00612923" w:rsidRDefault="00FD51F4">
      <w:r w:rsidRPr="00612923">
        <w:rPr>
          <w:noProof/>
        </w:rPr>
        <w:drawing>
          <wp:anchor distT="0" distB="0" distL="114300" distR="114300" simplePos="0" relativeHeight="251689984" behindDoc="1" locked="0" layoutInCell="1" allowOverlap="1">
            <wp:simplePos x="0" y="0"/>
            <wp:positionH relativeFrom="column">
              <wp:posOffset>2868295</wp:posOffset>
            </wp:positionH>
            <wp:positionV relativeFrom="paragraph">
              <wp:posOffset>-4445</wp:posOffset>
            </wp:positionV>
            <wp:extent cx="2633980" cy="1725295"/>
            <wp:effectExtent l="1905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srcRect t="3425" b="4794"/>
                    <a:stretch>
                      <a:fillRect/>
                    </a:stretch>
                  </pic:blipFill>
                  <pic:spPr bwMode="auto">
                    <a:xfrm>
                      <a:off x="0" y="0"/>
                      <a:ext cx="2633980" cy="1725295"/>
                    </a:xfrm>
                    <a:prstGeom prst="rect">
                      <a:avLst/>
                    </a:prstGeom>
                    <a:noFill/>
                    <a:ln w="9525">
                      <a:noFill/>
                      <a:miter lim="800000"/>
                      <a:headEnd/>
                      <a:tailEnd/>
                    </a:ln>
                  </pic:spPr>
                </pic:pic>
              </a:graphicData>
            </a:graphic>
          </wp:anchor>
        </w:drawing>
      </w:r>
    </w:p>
    <w:p w:rsidR="002A6B02" w:rsidRPr="00612923" w:rsidRDefault="00071D48">
      <w:r>
        <w:rPr>
          <w:noProof/>
        </w:rPr>
        <w:pict>
          <v:shape id="Text Box 15" o:spid="_x0000_s1029" type="#_x0000_t202" style="position:absolute;margin-left:-.8pt;margin-top:6.35pt;width:206.9pt;height:106.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" fillcolor="white [3212]" stroked="f" strokecolor="#f2f2f2 [3041]" strokeweight="3pt">
            <v:shadow color="#243f60 [1604]" opacity=".5" offset="1pt"/>
            <v:textbox>
              <w:txbxContent>
                <w:p w:rsidR="002C2C20" w:rsidRPr="00334712" w:rsidRDefault="002C2C20" w:rsidP="00AB380F">
                  <w:pPr>
                    <w:pStyle w:val="PreparedForCompany"/>
                    <w:jc w:val="left"/>
                    <w:rPr>
                      <w:rFonts w:cs="Arial"/>
                      <w:i/>
                      <w:sz w:val="24"/>
                    </w:rPr>
                  </w:pPr>
                  <w:r w:rsidRPr="00334712">
                    <w:rPr>
                      <w:rFonts w:cs="Arial"/>
                      <w:i/>
                      <w:sz w:val="24"/>
                    </w:rPr>
                    <w:t>Prepared by:</w:t>
                  </w:r>
                </w:p>
                <w:p w:rsidR="002C2C20" w:rsidRDefault="002C2C20" w:rsidP="00AB380F">
                  <w:pPr>
                    <w:pStyle w:val="PreparedForCompany"/>
                    <w:jc w:val="left"/>
                    <w:rPr>
                      <w:rFonts w:cs="Arial"/>
                      <w:sz w:val="24"/>
                    </w:rPr>
                  </w:pPr>
                  <w:r>
                    <w:rPr>
                      <w:rFonts w:cs="Arial"/>
                      <w:sz w:val="24"/>
                    </w:rPr>
                    <w:t>Michael Perry</w:t>
                  </w:r>
                </w:p>
                <w:p w:rsidR="002C2C20" w:rsidRDefault="002C2C20" w:rsidP="00AB380F">
                  <w:pPr>
                    <w:pStyle w:val="PreparedForCompany"/>
                    <w:jc w:val="left"/>
                    <w:rPr>
                      <w:rFonts w:cs="Arial"/>
                      <w:sz w:val="24"/>
                    </w:rPr>
                  </w:pPr>
                  <w:r>
                    <w:rPr>
                      <w:rFonts w:cs="Arial"/>
                      <w:sz w:val="24"/>
                    </w:rPr>
                    <w:t>Aimee Savage</w:t>
                  </w:r>
                </w:p>
                <w:p w:rsidR="002C2C20" w:rsidRDefault="002C2C20" w:rsidP="00AB380F">
                  <w:pPr>
                    <w:pStyle w:val="PreparedForCompany"/>
                    <w:jc w:val="left"/>
                    <w:rPr>
                      <w:rFonts w:cs="Arial"/>
                      <w:sz w:val="24"/>
                    </w:rPr>
                  </w:pPr>
                  <w:r>
                    <w:rPr>
                      <w:rFonts w:cs="Arial"/>
                      <w:sz w:val="24"/>
                    </w:rPr>
                    <w:t>Liz Hartmann</w:t>
                  </w:r>
                </w:p>
                <w:p w:rsidR="002C2C20" w:rsidRDefault="002C2C20" w:rsidP="00AB380F">
                  <w:pPr>
                    <w:pStyle w:val="PreparedForCompany"/>
                    <w:jc w:val="left"/>
                    <w:rPr>
                      <w:rFonts w:cs="Arial"/>
                      <w:sz w:val="24"/>
                    </w:rPr>
                  </w:pPr>
                  <w:r>
                    <w:rPr>
                      <w:rFonts w:cs="Arial"/>
                      <w:sz w:val="24"/>
                    </w:rPr>
                    <w:t>Jeeheh Oh</w:t>
                  </w:r>
                </w:p>
                <w:p w:rsidR="002C2C20" w:rsidRPr="00A53378" w:rsidRDefault="002C2C20" w:rsidP="00AB380F">
                  <w:pPr>
                    <w:pStyle w:val="PreparedForCompany"/>
                    <w:jc w:val="left"/>
                    <w:rPr>
                      <w:rFonts w:cs="Arial"/>
                      <w:sz w:val="24"/>
                    </w:rPr>
                  </w:pPr>
                  <w:r>
                    <w:rPr>
                      <w:rFonts w:cs="Arial"/>
                      <w:sz w:val="24"/>
                    </w:rPr>
                    <w:t>Stephen George</w:t>
                  </w:r>
                </w:p>
              </w:txbxContent>
            </v:textbox>
          </v:shape>
        </w:pict>
      </w:r>
    </w:p>
    <w:p w:rsidR="0084569F" w:rsidRPr="00612923" w:rsidRDefault="0084569F" w:rsidP="00305437">
      <w:pPr>
        <w:pStyle w:val="PreparedFor"/>
      </w:pPr>
    </w:p>
    <w:p w:rsidR="0084569F" w:rsidRPr="00612923" w:rsidRDefault="0084569F" w:rsidP="00305437">
      <w:pPr>
        <w:pStyle w:val="PreparedFor"/>
      </w:pPr>
    </w:p>
    <w:p w:rsidR="002A6B02" w:rsidRPr="00612923" w:rsidRDefault="002A6B02" w:rsidP="00305437">
      <w:pPr>
        <w:pStyle w:val="PreparedForCompany"/>
      </w:pPr>
    </w:p>
    <w:p w:rsidR="00AB380F" w:rsidRPr="00612923" w:rsidRDefault="00891B6B" w:rsidP="00AB380F">
      <w:pPr>
        <w:pStyle w:val="PreparedForCompany"/>
        <w:jc w:val="left"/>
      </w:pPr>
      <w:r w:rsidRPr="00612923">
        <w:rPr>
          <w:noProof/>
          <w:szCs w:val="22"/>
        </w:rPr>
        <w:drawing>
          <wp:anchor distT="0" distB="0" distL="114300" distR="114300" simplePos="0" relativeHeight="251688960" behindDoc="1" locked="0" layoutInCell="1" allowOverlap="1">
            <wp:simplePos x="0" y="0"/>
            <wp:positionH relativeFrom="column">
              <wp:posOffset>2868501</wp:posOffset>
            </wp:positionH>
            <wp:positionV relativeFrom="paragraph">
              <wp:posOffset>147427</wp:posOffset>
            </wp:positionV>
            <wp:extent cx="2633998" cy="1674254"/>
            <wp:effectExtent l="1905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srcRect b="2958"/>
                    <a:stretch>
                      <a:fillRect/>
                    </a:stretch>
                  </pic:blipFill>
                  <pic:spPr bwMode="auto">
                    <a:xfrm>
                      <a:off x="0" y="0"/>
                      <a:ext cx="2633998" cy="1674254"/>
                    </a:xfrm>
                    <a:prstGeom prst="rect">
                      <a:avLst/>
                    </a:prstGeom>
                    <a:noFill/>
                    <a:ln w="9525">
                      <a:noFill/>
                      <a:miter lim="800000"/>
                      <a:headEnd/>
                      <a:tailEnd/>
                    </a:ln>
                  </pic:spPr>
                </pic:pic>
              </a:graphicData>
            </a:graphic>
          </wp:anchor>
        </w:drawing>
      </w:r>
    </w:p>
    <w:p w:rsidR="002A6B02" w:rsidRPr="00612923" w:rsidRDefault="00071D48" w:rsidP="00AB380F">
      <w:pPr>
        <w:spacing w:before="240"/>
        <w:ind w:left="-990"/>
        <w:rPr>
          <w:b/>
          <w:color w:val="433B67"/>
          <w:sz w:val="28"/>
          <w:szCs w:val="28"/>
        </w:rPr>
        <w:sectPr w:rsidR="002A6B02" w:rsidRPr="00612923" w:rsidSect="00A40B9A">
          <w:headerReference w:type="even" r:id="rId12"/>
          <w:headerReference w:type="default" r:id="rId13"/>
          <w:footerReference w:type="even" r:id="rId14"/>
          <w:footerReference w:type="default" r:id="rId15"/>
          <w:footerReference w:type="first" r:id="rId16"/>
          <w:pgSz w:w="12240" w:h="15840"/>
          <w:pgMar w:top="1440" w:right="1800" w:bottom="1440" w:left="1800" w:header="720" w:footer="720" w:gutter="0"/>
          <w:pgNumType w:fmt="lowerRoman" w:start="1"/>
          <w:cols w:space="720"/>
          <w:titlePg/>
          <w:docGrid w:linePitch="360"/>
        </w:sectPr>
      </w:pPr>
      <w:r w:rsidRPr="00071D48">
        <w:rPr>
          <w:noProof/>
        </w:rPr>
        <w:pict>
          <v:shape id="Text Box 16" o:spid="_x0000_s1030" type="#_x0000_t202" style="position:absolute;left:0;text-align:left;margin-left:-.95pt;margin-top:4.4pt;width:207.05pt;height:6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" fillcolor="white [3212]" stroked="f" strokecolor="#f2f2f2 [3041]" strokeweight="3pt">
            <v:shadow color="#4e6128 [1606]" opacity=".5" offset="1pt"/>
            <v:textbox>
              <w:txbxContent>
                <w:p w:rsidR="002C2C20" w:rsidRPr="00334712" w:rsidRDefault="002C2C20" w:rsidP="00D04A27">
                  <w:pPr>
                    <w:pStyle w:val="TitleAddress"/>
                    <w:tabs>
                      <w:tab w:val="clear" w:pos="3960"/>
                    </w:tabs>
                    <w:rPr>
                      <w:b w:val="0"/>
                      <w:color w:val="auto"/>
                      <w:sz w:val="24"/>
                      <w:szCs w:val="24"/>
                    </w:rPr>
                  </w:pPr>
                  <w:r w:rsidRPr="00334712">
                    <w:rPr>
                      <w:b w:val="0"/>
                      <w:color w:val="auto"/>
                      <w:sz w:val="24"/>
                      <w:szCs w:val="24"/>
                    </w:rPr>
                    <w:t>Freeman, Sullivan &amp; Co</w:t>
                  </w:r>
                  <w:proofErr w:type="gramStart"/>
                  <w:r w:rsidRPr="00334712">
                    <w:rPr>
                      <w:b w:val="0"/>
                      <w:color w:val="auto"/>
                      <w:sz w:val="24"/>
                      <w:szCs w:val="24"/>
                    </w:rPr>
                    <w:t>.</w:t>
                  </w:r>
                  <w:proofErr w:type="gramEnd"/>
                  <w:r w:rsidRPr="00334712">
                    <w:rPr>
                      <w:b w:val="0"/>
                      <w:color w:val="auto"/>
                      <w:sz w:val="24"/>
                      <w:szCs w:val="24"/>
                    </w:rPr>
                    <w:br/>
                    <w:t>101 Montgomery St., 15th Fl</w:t>
                  </w:r>
                  <w:r w:rsidRPr="00334712">
                    <w:rPr>
                      <w:b w:val="0"/>
                      <w:color w:val="auto"/>
                      <w:sz w:val="24"/>
                      <w:szCs w:val="24"/>
                    </w:rPr>
                    <w:br/>
                    <w:t>San Francisco, CA  94104</w:t>
                  </w:r>
                  <w:r w:rsidRPr="00334712">
                    <w:rPr>
                      <w:b w:val="0"/>
                      <w:color w:val="auto"/>
                      <w:sz w:val="24"/>
                      <w:szCs w:val="24"/>
                    </w:rPr>
                    <w:br/>
                    <w:t>fscgroup.com</w:t>
                  </w:r>
                </w:p>
                <w:p w:rsidR="002C2C20" w:rsidRPr="000D67D1" w:rsidRDefault="002C2C20" w:rsidP="00AB380F">
                  <w:pPr>
                    <w:pStyle w:val="TitleAddress"/>
                  </w:pPr>
                  <w:r w:rsidRPr="000D67D1">
                    <w:tab/>
                  </w:r>
                </w:p>
              </w:txbxContent>
            </v:textbox>
          </v:shape>
        </w:pict>
      </w:r>
      <w:r>
        <w:rPr>
          <w:b/>
          <w:noProof/>
          <w:color w:val="433B67"/>
          <w:sz w:val="28"/>
          <w:szCs w:val="28"/>
        </w:rPr>
        <w:pict>
          <v:shape id="AutoShape 30" o:spid="_x0000_s1035" type="#_x0000_t32" style="position:absolute;left:0;text-align:left;margin-left:-95.4pt;margin-top:183.3pt;width:644.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" strokecolor="black [3213]" strokeweight="1pt"/>
        </w:pict>
      </w:r>
      <w:r>
        <w:rPr>
          <w:b/>
          <w:noProof/>
          <w:color w:val="433B67"/>
          <w:sz w:val="28"/>
          <w:szCs w:val="28"/>
        </w:rPr>
        <w:pict>
          <v:shape id="AutoShape 29" o:spid="_x0000_s1034" type="#_x0000_t32" style="position:absolute;left:0;text-align:left;margin-left:-107.4pt;margin-top:182.1pt;width:644.25pt;height:.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" strokecolor="#433b67" strokeweight="2pt"/>
        </w:pict>
      </w:r>
      <w:r>
        <w:rPr>
          <w:b/>
          <w:noProof/>
          <w:color w:val="433B67"/>
          <w:sz w:val="28"/>
          <w:szCs w:val="28"/>
        </w:rPr>
        <w:pict>
          <v:shape id="Text Box 28" o:spid="_x0000_s1031" type="#_x0000_t202" style="position:absolute;left:0;text-align:left;margin-left:-7.1pt;margin-top:159.6pt;width:144.4pt;height:2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" filled="f" stroked="f">
            <v:textbox>
              <w:txbxContent>
                <w:p w:rsidR="002C2C20" w:rsidRPr="003A4BA1" w:rsidRDefault="002C2C20" w:rsidP="00CA7949">
                  <w:pPr>
                    <w:pStyle w:val="TitleProposal"/>
                    <w:rPr>
                      <w:rFonts w:ascii="Arial Black" w:hAnsi="Arial Black"/>
                      <w:color w:val="auto"/>
                    </w:rPr>
                  </w:pPr>
                  <w:r w:rsidRPr="003A4BA1">
                    <w:rPr>
                      <w:rFonts w:ascii="Arial Black" w:hAnsi="Arial Black"/>
                      <w:color w:val="auto"/>
                    </w:rPr>
                    <w:t>The FSC Group</w:t>
                  </w:r>
                </w:p>
                <w:p w:rsidR="002C2C20" w:rsidRPr="000D67D1" w:rsidRDefault="002C2C20" w:rsidP="00CA7949">
                  <w:pPr>
                    <w:pStyle w:val="TitleProposal"/>
                  </w:pPr>
                </w:p>
              </w:txbxContent>
            </v:textbox>
          </v:shape>
        </w:pict>
      </w:r>
    </w:p>
    <w:sdt>
      <w:sdtPr>
        <w:rPr>
          <w:rFonts w:asciiTheme="minorHAnsi" w:eastAsiaTheme="minorHAnsi" w:hAnsiTheme="minorHAnsi" w:cstheme="minorBidi"/>
          <w:b w:val="0"/>
          <w:color w:val="auto"/>
          <w:sz w:val="22"/>
          <w:szCs w:val="22"/>
        </w:rPr>
        <w:id w:val="1780305"/>
        <w:docPartObj>
          <w:docPartGallery w:val="Table of Contents"/>
          <w:docPartUnique/>
        </w:docPartObj>
      </w:sdtPr>
      <w:sdtContent>
        <w:p w:rsidR="001A71A9" w:rsidRPr="00612923" w:rsidRDefault="001A71A9" w:rsidP="00DB35F9">
          <w:pPr>
            <w:pStyle w:val="TableofContents"/>
            <w:ind w:left="0"/>
          </w:pPr>
          <w:r w:rsidRPr="00612923">
            <w:rPr>
              <w:rFonts w:ascii="Arial Black" w:hAnsi="Arial Black"/>
            </w:rPr>
            <w:t>Table of Contents</w:t>
          </w:r>
        </w:p>
        <w:p w:rsidR="00012BDB" w:rsidRDefault="00071D48">
          <w:pPr>
            <w:pStyle w:val="TOC1"/>
            <w:rPr>
              <w:rFonts w:asciiTheme="minorHAnsi" w:eastAsiaTheme="minorEastAsia" w:hAnsiTheme="minorHAnsi" w:cstheme="minorBidi"/>
              <w:sz w:val="22"/>
              <w:szCs w:val="22"/>
            </w:rPr>
          </w:pPr>
          <w:r w:rsidRPr="00071D48">
            <w:fldChar w:fldCharType="begin"/>
          </w:r>
          <w:r w:rsidR="006717E3" w:rsidRPr="00612923">
            <w:instrText xml:space="preserve"> TOC \o "1-3" \h \z \t "Appendix Heading 1,2,Appendix Heading 2,3,Appendix Heading 3,4" </w:instrText>
          </w:r>
          <w:r w:rsidRPr="00071D48">
            <w:fldChar w:fldCharType="separate"/>
          </w:r>
          <w:hyperlink w:anchor="_Toc352567285" w:history="1">
            <w:r w:rsidR="00012BDB" w:rsidRPr="009900B7">
              <w:rPr>
                <w:rStyle w:val="Hyperlink"/>
              </w:rPr>
              <w:t>1</w:t>
            </w:r>
            <w:r w:rsidR="00012BDB">
              <w:rPr>
                <w:rFonts w:asciiTheme="minorHAnsi" w:eastAsiaTheme="minorEastAsia" w:hAnsiTheme="minorHAnsi" w:cstheme="minorBidi"/>
                <w:sz w:val="22"/>
                <w:szCs w:val="22"/>
              </w:rPr>
              <w:tab/>
            </w:r>
            <w:r w:rsidR="00012BDB" w:rsidRPr="009900B7">
              <w:rPr>
                <w:rStyle w:val="Hyperlink"/>
              </w:rPr>
              <w:t>Executive Summary</w:t>
            </w:r>
            <w:r w:rsidR="00012BDB">
              <w:rPr>
                <w:webHidden/>
              </w:rPr>
              <w:tab/>
            </w:r>
            <w:r w:rsidR="00012BDB">
              <w:rPr>
                <w:webHidden/>
              </w:rPr>
              <w:fldChar w:fldCharType="begin"/>
            </w:r>
            <w:r w:rsidR="00012BDB">
              <w:rPr>
                <w:webHidden/>
              </w:rPr>
              <w:instrText xml:space="preserve"> PAGEREF _Toc352567285 \h </w:instrText>
            </w:r>
            <w:r w:rsidR="00012BDB">
              <w:rPr>
                <w:webHidden/>
              </w:rPr>
            </w:r>
            <w:r w:rsidR="00012BDB">
              <w:rPr>
                <w:webHidden/>
              </w:rPr>
              <w:fldChar w:fldCharType="separate"/>
            </w:r>
            <w:r w:rsidR="00012BDB">
              <w:rPr>
                <w:webHidden/>
              </w:rPr>
              <w:t>1</w:t>
            </w:r>
            <w:r w:rsidR="00012BDB">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86" w:history="1">
            <w:r w:rsidRPr="009900B7">
              <w:rPr>
                <w:rStyle w:val="Hyperlink"/>
              </w:rPr>
              <w:t>1.1</w:t>
            </w:r>
            <w:r>
              <w:rPr>
                <w:rFonts w:asciiTheme="minorHAnsi" w:eastAsiaTheme="minorEastAsia" w:hAnsiTheme="minorHAnsi" w:cstheme="minorBidi"/>
                <w:sz w:val="22"/>
                <w:szCs w:val="22"/>
              </w:rPr>
              <w:tab/>
            </w:r>
            <w:r w:rsidRPr="009900B7">
              <w:rPr>
                <w:rStyle w:val="Hyperlink"/>
              </w:rPr>
              <w:t>SmartRate Ex Post Evaluation Summary</w:t>
            </w:r>
            <w:r>
              <w:rPr>
                <w:webHidden/>
              </w:rPr>
              <w:tab/>
            </w:r>
            <w:r>
              <w:rPr>
                <w:webHidden/>
              </w:rPr>
              <w:fldChar w:fldCharType="begin"/>
            </w:r>
            <w:r>
              <w:rPr>
                <w:webHidden/>
              </w:rPr>
              <w:instrText xml:space="preserve"> PAGEREF _Toc352567286 \h </w:instrText>
            </w:r>
            <w:r>
              <w:rPr>
                <w:webHidden/>
              </w:rPr>
            </w:r>
            <w:r>
              <w:rPr>
                <w:webHidden/>
              </w:rPr>
              <w:fldChar w:fldCharType="separate"/>
            </w:r>
            <w:r>
              <w:rPr>
                <w:webHidden/>
              </w:rPr>
              <w:t>1</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87" w:history="1">
            <w:r w:rsidRPr="009900B7">
              <w:rPr>
                <w:rStyle w:val="Hyperlink"/>
              </w:rPr>
              <w:t>1.2</w:t>
            </w:r>
            <w:r>
              <w:rPr>
                <w:rFonts w:asciiTheme="minorHAnsi" w:eastAsiaTheme="minorEastAsia" w:hAnsiTheme="minorHAnsi" w:cstheme="minorBidi"/>
                <w:sz w:val="22"/>
                <w:szCs w:val="22"/>
              </w:rPr>
              <w:tab/>
            </w:r>
            <w:r w:rsidRPr="009900B7">
              <w:rPr>
                <w:rStyle w:val="Hyperlink"/>
              </w:rPr>
              <w:t>SmartRate Ex Ante Evaluation Summary</w:t>
            </w:r>
            <w:r>
              <w:rPr>
                <w:webHidden/>
              </w:rPr>
              <w:tab/>
            </w:r>
            <w:r>
              <w:rPr>
                <w:webHidden/>
              </w:rPr>
              <w:fldChar w:fldCharType="begin"/>
            </w:r>
            <w:r>
              <w:rPr>
                <w:webHidden/>
              </w:rPr>
              <w:instrText xml:space="preserve"> PAGEREF _Toc352567287 \h </w:instrText>
            </w:r>
            <w:r>
              <w:rPr>
                <w:webHidden/>
              </w:rPr>
            </w:r>
            <w:r>
              <w:rPr>
                <w:webHidden/>
              </w:rPr>
              <w:fldChar w:fldCharType="separate"/>
            </w:r>
            <w:r>
              <w:rPr>
                <w:webHidden/>
              </w:rPr>
              <w:t>3</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88" w:history="1">
            <w:r w:rsidRPr="009900B7">
              <w:rPr>
                <w:rStyle w:val="Hyperlink"/>
              </w:rPr>
              <w:t>1.3</w:t>
            </w:r>
            <w:r>
              <w:rPr>
                <w:rFonts w:asciiTheme="minorHAnsi" w:eastAsiaTheme="minorEastAsia" w:hAnsiTheme="minorHAnsi" w:cstheme="minorBidi"/>
                <w:sz w:val="22"/>
                <w:szCs w:val="22"/>
              </w:rPr>
              <w:tab/>
            </w:r>
            <w:r w:rsidRPr="009900B7">
              <w:rPr>
                <w:rStyle w:val="Hyperlink"/>
              </w:rPr>
              <w:t>TOU Ex Post Evaluation Summary</w:t>
            </w:r>
            <w:r>
              <w:rPr>
                <w:webHidden/>
              </w:rPr>
              <w:tab/>
            </w:r>
            <w:r>
              <w:rPr>
                <w:webHidden/>
              </w:rPr>
              <w:fldChar w:fldCharType="begin"/>
            </w:r>
            <w:r>
              <w:rPr>
                <w:webHidden/>
              </w:rPr>
              <w:instrText xml:space="preserve"> PAGEREF _Toc352567288 \h </w:instrText>
            </w:r>
            <w:r>
              <w:rPr>
                <w:webHidden/>
              </w:rPr>
            </w:r>
            <w:r>
              <w:rPr>
                <w:webHidden/>
              </w:rPr>
              <w:fldChar w:fldCharType="separate"/>
            </w:r>
            <w:r>
              <w:rPr>
                <w:webHidden/>
              </w:rPr>
              <w:t>5</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89" w:history="1">
            <w:r w:rsidRPr="009900B7">
              <w:rPr>
                <w:rStyle w:val="Hyperlink"/>
              </w:rPr>
              <w:t>1.4</w:t>
            </w:r>
            <w:r>
              <w:rPr>
                <w:rFonts w:asciiTheme="minorHAnsi" w:eastAsiaTheme="minorEastAsia" w:hAnsiTheme="minorHAnsi" w:cstheme="minorBidi"/>
                <w:sz w:val="22"/>
                <w:szCs w:val="22"/>
              </w:rPr>
              <w:tab/>
            </w:r>
            <w:r w:rsidRPr="009900B7">
              <w:rPr>
                <w:rStyle w:val="Hyperlink"/>
              </w:rPr>
              <w:t>TOU Ex Ante Evaluation Summary</w:t>
            </w:r>
            <w:r>
              <w:rPr>
                <w:webHidden/>
              </w:rPr>
              <w:tab/>
            </w:r>
            <w:r>
              <w:rPr>
                <w:webHidden/>
              </w:rPr>
              <w:fldChar w:fldCharType="begin"/>
            </w:r>
            <w:r>
              <w:rPr>
                <w:webHidden/>
              </w:rPr>
              <w:instrText xml:space="preserve"> PAGEREF _Toc352567289 \h </w:instrText>
            </w:r>
            <w:r>
              <w:rPr>
                <w:webHidden/>
              </w:rPr>
            </w:r>
            <w:r>
              <w:rPr>
                <w:webHidden/>
              </w:rPr>
              <w:fldChar w:fldCharType="separate"/>
            </w:r>
            <w:r>
              <w:rPr>
                <w:webHidden/>
              </w:rPr>
              <w:t>6</w:t>
            </w:r>
            <w:r>
              <w:rPr>
                <w:webHidden/>
              </w:rPr>
              <w:fldChar w:fldCharType="end"/>
            </w:r>
          </w:hyperlink>
        </w:p>
        <w:p w:rsidR="00012BDB" w:rsidRDefault="00012BDB">
          <w:pPr>
            <w:pStyle w:val="TOC1"/>
            <w:rPr>
              <w:rFonts w:asciiTheme="minorHAnsi" w:eastAsiaTheme="minorEastAsia" w:hAnsiTheme="minorHAnsi" w:cstheme="minorBidi"/>
              <w:sz w:val="22"/>
              <w:szCs w:val="22"/>
            </w:rPr>
          </w:pPr>
          <w:hyperlink w:anchor="_Toc352567290" w:history="1">
            <w:r w:rsidRPr="009900B7">
              <w:rPr>
                <w:rStyle w:val="Hyperlink"/>
              </w:rPr>
              <w:t>2</w:t>
            </w:r>
            <w:r>
              <w:rPr>
                <w:rFonts w:asciiTheme="minorHAnsi" w:eastAsiaTheme="minorEastAsia" w:hAnsiTheme="minorHAnsi" w:cstheme="minorBidi"/>
                <w:sz w:val="22"/>
                <w:szCs w:val="22"/>
              </w:rPr>
              <w:tab/>
            </w:r>
            <w:r w:rsidRPr="009900B7">
              <w:rPr>
                <w:rStyle w:val="Hyperlink"/>
              </w:rPr>
              <w:t>Overview of Time-varying Tariffs</w:t>
            </w:r>
            <w:r>
              <w:rPr>
                <w:webHidden/>
              </w:rPr>
              <w:tab/>
            </w:r>
            <w:r>
              <w:rPr>
                <w:webHidden/>
              </w:rPr>
              <w:fldChar w:fldCharType="begin"/>
            </w:r>
            <w:r>
              <w:rPr>
                <w:webHidden/>
              </w:rPr>
              <w:instrText xml:space="preserve"> PAGEREF _Toc352567290 \h </w:instrText>
            </w:r>
            <w:r>
              <w:rPr>
                <w:webHidden/>
              </w:rPr>
            </w:r>
            <w:r>
              <w:rPr>
                <w:webHidden/>
              </w:rPr>
              <w:fldChar w:fldCharType="separate"/>
            </w:r>
            <w:r>
              <w:rPr>
                <w:webHidden/>
              </w:rPr>
              <w:t>8</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91" w:history="1">
            <w:r w:rsidRPr="009900B7">
              <w:rPr>
                <w:rStyle w:val="Hyperlink"/>
              </w:rPr>
              <w:t>2.1</w:t>
            </w:r>
            <w:r>
              <w:rPr>
                <w:rFonts w:asciiTheme="minorHAnsi" w:eastAsiaTheme="minorEastAsia" w:hAnsiTheme="minorHAnsi" w:cstheme="minorBidi"/>
                <w:sz w:val="22"/>
                <w:szCs w:val="22"/>
              </w:rPr>
              <w:tab/>
            </w:r>
            <w:r w:rsidRPr="009900B7">
              <w:rPr>
                <w:rStyle w:val="Hyperlink"/>
              </w:rPr>
              <w:t>SmartRate Overview</w:t>
            </w:r>
            <w:r>
              <w:rPr>
                <w:webHidden/>
              </w:rPr>
              <w:tab/>
            </w:r>
            <w:r>
              <w:rPr>
                <w:webHidden/>
              </w:rPr>
              <w:fldChar w:fldCharType="begin"/>
            </w:r>
            <w:r>
              <w:rPr>
                <w:webHidden/>
              </w:rPr>
              <w:instrText xml:space="preserve"> PAGEREF _Toc352567291 \h </w:instrText>
            </w:r>
            <w:r>
              <w:rPr>
                <w:webHidden/>
              </w:rPr>
            </w:r>
            <w:r>
              <w:rPr>
                <w:webHidden/>
              </w:rPr>
              <w:fldChar w:fldCharType="separate"/>
            </w:r>
            <w:r>
              <w:rPr>
                <w:webHidden/>
              </w:rPr>
              <w:t>8</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92" w:history="1">
            <w:r w:rsidRPr="009900B7">
              <w:rPr>
                <w:rStyle w:val="Hyperlink"/>
              </w:rPr>
              <w:t>2.2</w:t>
            </w:r>
            <w:r>
              <w:rPr>
                <w:rFonts w:asciiTheme="minorHAnsi" w:eastAsiaTheme="minorEastAsia" w:hAnsiTheme="minorHAnsi" w:cstheme="minorBidi"/>
                <w:sz w:val="22"/>
                <w:szCs w:val="22"/>
              </w:rPr>
              <w:tab/>
            </w:r>
            <w:r w:rsidRPr="009900B7">
              <w:rPr>
                <w:rStyle w:val="Hyperlink"/>
              </w:rPr>
              <w:t>TOU Overview</w:t>
            </w:r>
            <w:r>
              <w:rPr>
                <w:webHidden/>
              </w:rPr>
              <w:tab/>
            </w:r>
            <w:r>
              <w:rPr>
                <w:webHidden/>
              </w:rPr>
              <w:fldChar w:fldCharType="begin"/>
            </w:r>
            <w:r>
              <w:rPr>
                <w:webHidden/>
              </w:rPr>
              <w:instrText xml:space="preserve"> PAGEREF _Toc352567292 \h </w:instrText>
            </w:r>
            <w:r>
              <w:rPr>
                <w:webHidden/>
              </w:rPr>
            </w:r>
            <w:r>
              <w:rPr>
                <w:webHidden/>
              </w:rPr>
              <w:fldChar w:fldCharType="separate"/>
            </w:r>
            <w:r>
              <w:rPr>
                <w:webHidden/>
              </w:rPr>
              <w:t>12</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93" w:history="1">
            <w:r w:rsidRPr="009900B7">
              <w:rPr>
                <w:rStyle w:val="Hyperlink"/>
              </w:rPr>
              <w:t>2.3</w:t>
            </w:r>
            <w:r>
              <w:rPr>
                <w:rFonts w:asciiTheme="minorHAnsi" w:eastAsiaTheme="minorEastAsia" w:hAnsiTheme="minorHAnsi" w:cstheme="minorBidi"/>
                <w:sz w:val="22"/>
                <w:szCs w:val="22"/>
              </w:rPr>
              <w:tab/>
            </w:r>
            <w:r w:rsidRPr="009900B7">
              <w:rPr>
                <w:rStyle w:val="Hyperlink"/>
              </w:rPr>
              <w:t>Report Organization</w:t>
            </w:r>
            <w:r>
              <w:rPr>
                <w:webHidden/>
              </w:rPr>
              <w:tab/>
            </w:r>
            <w:r>
              <w:rPr>
                <w:webHidden/>
              </w:rPr>
              <w:fldChar w:fldCharType="begin"/>
            </w:r>
            <w:r>
              <w:rPr>
                <w:webHidden/>
              </w:rPr>
              <w:instrText xml:space="preserve"> PAGEREF _Toc352567293 \h </w:instrText>
            </w:r>
            <w:r>
              <w:rPr>
                <w:webHidden/>
              </w:rPr>
            </w:r>
            <w:r>
              <w:rPr>
                <w:webHidden/>
              </w:rPr>
              <w:fldChar w:fldCharType="separate"/>
            </w:r>
            <w:r>
              <w:rPr>
                <w:webHidden/>
              </w:rPr>
              <w:t>16</w:t>
            </w:r>
            <w:r>
              <w:rPr>
                <w:webHidden/>
              </w:rPr>
              <w:fldChar w:fldCharType="end"/>
            </w:r>
          </w:hyperlink>
        </w:p>
        <w:p w:rsidR="00012BDB" w:rsidRDefault="00012BDB">
          <w:pPr>
            <w:pStyle w:val="TOC1"/>
            <w:rPr>
              <w:rFonts w:asciiTheme="minorHAnsi" w:eastAsiaTheme="minorEastAsia" w:hAnsiTheme="minorHAnsi" w:cstheme="minorBidi"/>
              <w:sz w:val="22"/>
              <w:szCs w:val="22"/>
            </w:rPr>
          </w:pPr>
          <w:hyperlink w:anchor="_Toc352567294" w:history="1">
            <w:r w:rsidRPr="009900B7">
              <w:rPr>
                <w:rStyle w:val="Hyperlink"/>
              </w:rPr>
              <w:t>3</w:t>
            </w:r>
            <w:r>
              <w:rPr>
                <w:rFonts w:asciiTheme="minorHAnsi" w:eastAsiaTheme="minorEastAsia" w:hAnsiTheme="minorHAnsi" w:cstheme="minorBidi"/>
                <w:sz w:val="22"/>
                <w:szCs w:val="22"/>
              </w:rPr>
              <w:tab/>
            </w:r>
            <w:r w:rsidRPr="009900B7">
              <w:rPr>
                <w:rStyle w:val="Hyperlink"/>
              </w:rPr>
              <w:t>SmartRate Ex Post Methods and Validation</w:t>
            </w:r>
            <w:r>
              <w:rPr>
                <w:webHidden/>
              </w:rPr>
              <w:tab/>
            </w:r>
            <w:r>
              <w:rPr>
                <w:webHidden/>
              </w:rPr>
              <w:fldChar w:fldCharType="begin"/>
            </w:r>
            <w:r>
              <w:rPr>
                <w:webHidden/>
              </w:rPr>
              <w:instrText xml:space="preserve"> PAGEREF _Toc352567294 \h </w:instrText>
            </w:r>
            <w:r>
              <w:rPr>
                <w:webHidden/>
              </w:rPr>
            </w:r>
            <w:r>
              <w:rPr>
                <w:webHidden/>
              </w:rPr>
              <w:fldChar w:fldCharType="separate"/>
            </w:r>
            <w:r>
              <w:rPr>
                <w:webHidden/>
              </w:rPr>
              <w:t>17</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95" w:history="1">
            <w:r w:rsidRPr="009900B7">
              <w:rPr>
                <w:rStyle w:val="Hyperlink"/>
              </w:rPr>
              <w:t>3.1</w:t>
            </w:r>
            <w:r>
              <w:rPr>
                <w:rFonts w:asciiTheme="minorHAnsi" w:eastAsiaTheme="minorEastAsia" w:hAnsiTheme="minorHAnsi" w:cstheme="minorBidi"/>
                <w:sz w:val="22"/>
                <w:szCs w:val="22"/>
              </w:rPr>
              <w:tab/>
            </w:r>
            <w:r w:rsidRPr="009900B7">
              <w:rPr>
                <w:rStyle w:val="Hyperlink"/>
              </w:rPr>
              <w:t>Matched Control Group Methodology</w:t>
            </w:r>
            <w:r>
              <w:rPr>
                <w:webHidden/>
              </w:rPr>
              <w:tab/>
            </w:r>
            <w:r>
              <w:rPr>
                <w:webHidden/>
              </w:rPr>
              <w:fldChar w:fldCharType="begin"/>
            </w:r>
            <w:r>
              <w:rPr>
                <w:webHidden/>
              </w:rPr>
              <w:instrText xml:space="preserve"> PAGEREF _Toc352567295 \h </w:instrText>
            </w:r>
            <w:r>
              <w:rPr>
                <w:webHidden/>
              </w:rPr>
            </w:r>
            <w:r>
              <w:rPr>
                <w:webHidden/>
              </w:rPr>
              <w:fldChar w:fldCharType="separate"/>
            </w:r>
            <w:r>
              <w:rPr>
                <w:webHidden/>
              </w:rPr>
              <w:t>17</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96" w:history="1">
            <w:r w:rsidRPr="009900B7">
              <w:rPr>
                <w:rStyle w:val="Hyperlink"/>
              </w:rPr>
              <w:t>3.2</w:t>
            </w:r>
            <w:r>
              <w:rPr>
                <w:rFonts w:asciiTheme="minorHAnsi" w:eastAsiaTheme="minorEastAsia" w:hAnsiTheme="minorHAnsi" w:cstheme="minorBidi"/>
                <w:sz w:val="22"/>
                <w:szCs w:val="22"/>
              </w:rPr>
              <w:tab/>
            </w:r>
            <w:r w:rsidRPr="009900B7">
              <w:rPr>
                <w:rStyle w:val="Hyperlink"/>
              </w:rPr>
              <w:t>Individual Customer Regression Methodology</w:t>
            </w:r>
            <w:r>
              <w:rPr>
                <w:webHidden/>
              </w:rPr>
              <w:tab/>
            </w:r>
            <w:r>
              <w:rPr>
                <w:webHidden/>
              </w:rPr>
              <w:fldChar w:fldCharType="begin"/>
            </w:r>
            <w:r>
              <w:rPr>
                <w:webHidden/>
              </w:rPr>
              <w:instrText xml:space="preserve"> PAGEREF _Toc352567296 \h </w:instrText>
            </w:r>
            <w:r>
              <w:rPr>
                <w:webHidden/>
              </w:rPr>
            </w:r>
            <w:r>
              <w:rPr>
                <w:webHidden/>
              </w:rPr>
              <w:fldChar w:fldCharType="separate"/>
            </w:r>
            <w:r>
              <w:rPr>
                <w:webHidden/>
              </w:rPr>
              <w:t>22</w:t>
            </w:r>
            <w:r>
              <w:rPr>
                <w:webHidden/>
              </w:rPr>
              <w:fldChar w:fldCharType="end"/>
            </w:r>
          </w:hyperlink>
        </w:p>
        <w:p w:rsidR="00012BDB" w:rsidRDefault="00012BDB">
          <w:pPr>
            <w:pStyle w:val="TOC1"/>
            <w:rPr>
              <w:rFonts w:asciiTheme="minorHAnsi" w:eastAsiaTheme="minorEastAsia" w:hAnsiTheme="minorHAnsi" w:cstheme="minorBidi"/>
              <w:sz w:val="22"/>
              <w:szCs w:val="22"/>
            </w:rPr>
          </w:pPr>
          <w:hyperlink w:anchor="_Toc352567297" w:history="1">
            <w:r w:rsidRPr="009900B7">
              <w:rPr>
                <w:rStyle w:val="Hyperlink"/>
              </w:rPr>
              <w:t>4</w:t>
            </w:r>
            <w:r>
              <w:rPr>
                <w:rFonts w:asciiTheme="minorHAnsi" w:eastAsiaTheme="minorEastAsia" w:hAnsiTheme="minorHAnsi" w:cstheme="minorBidi"/>
                <w:sz w:val="22"/>
                <w:szCs w:val="22"/>
              </w:rPr>
              <w:tab/>
            </w:r>
            <w:r w:rsidRPr="009900B7">
              <w:rPr>
                <w:rStyle w:val="Hyperlink"/>
              </w:rPr>
              <w:t>SmartRate 2012 Ex Post Load Impacts</w:t>
            </w:r>
            <w:r>
              <w:rPr>
                <w:webHidden/>
              </w:rPr>
              <w:tab/>
            </w:r>
            <w:r>
              <w:rPr>
                <w:webHidden/>
              </w:rPr>
              <w:fldChar w:fldCharType="begin"/>
            </w:r>
            <w:r>
              <w:rPr>
                <w:webHidden/>
              </w:rPr>
              <w:instrText xml:space="preserve"> PAGEREF _Toc352567297 \h </w:instrText>
            </w:r>
            <w:r>
              <w:rPr>
                <w:webHidden/>
              </w:rPr>
            </w:r>
            <w:r>
              <w:rPr>
                <w:webHidden/>
              </w:rPr>
              <w:fldChar w:fldCharType="separate"/>
            </w:r>
            <w:r>
              <w:rPr>
                <w:webHidden/>
              </w:rPr>
              <w:t>26</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98" w:history="1">
            <w:r w:rsidRPr="009900B7">
              <w:rPr>
                <w:rStyle w:val="Hyperlink"/>
              </w:rPr>
              <w:t>4.1</w:t>
            </w:r>
            <w:r>
              <w:rPr>
                <w:rFonts w:asciiTheme="minorHAnsi" w:eastAsiaTheme="minorEastAsia" w:hAnsiTheme="minorHAnsi" w:cstheme="minorBidi"/>
                <w:sz w:val="22"/>
                <w:szCs w:val="22"/>
              </w:rPr>
              <w:tab/>
            </w:r>
            <w:r w:rsidRPr="009900B7">
              <w:rPr>
                <w:rStyle w:val="Hyperlink"/>
              </w:rPr>
              <w:t>Average Event Impacts</w:t>
            </w:r>
            <w:r>
              <w:rPr>
                <w:webHidden/>
              </w:rPr>
              <w:tab/>
            </w:r>
            <w:r>
              <w:rPr>
                <w:webHidden/>
              </w:rPr>
              <w:fldChar w:fldCharType="begin"/>
            </w:r>
            <w:r>
              <w:rPr>
                <w:webHidden/>
              </w:rPr>
              <w:instrText xml:space="preserve"> PAGEREF _Toc352567298 \h </w:instrText>
            </w:r>
            <w:r>
              <w:rPr>
                <w:webHidden/>
              </w:rPr>
            </w:r>
            <w:r>
              <w:rPr>
                <w:webHidden/>
              </w:rPr>
              <w:fldChar w:fldCharType="separate"/>
            </w:r>
            <w:r>
              <w:rPr>
                <w:webHidden/>
              </w:rPr>
              <w:t>26</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299" w:history="1">
            <w:r w:rsidRPr="009900B7">
              <w:rPr>
                <w:rStyle w:val="Hyperlink"/>
              </w:rPr>
              <w:t>4.2</w:t>
            </w:r>
            <w:r>
              <w:rPr>
                <w:rFonts w:asciiTheme="minorHAnsi" w:eastAsiaTheme="minorEastAsia" w:hAnsiTheme="minorHAnsi" w:cstheme="minorBidi"/>
                <w:sz w:val="22"/>
                <w:szCs w:val="22"/>
              </w:rPr>
              <w:tab/>
            </w:r>
            <w:r w:rsidRPr="009900B7">
              <w:rPr>
                <w:rStyle w:val="Hyperlink"/>
              </w:rPr>
              <w:t>Load Impacts for Specific Customer Segments</w:t>
            </w:r>
            <w:r>
              <w:rPr>
                <w:webHidden/>
              </w:rPr>
              <w:tab/>
            </w:r>
            <w:r>
              <w:rPr>
                <w:webHidden/>
              </w:rPr>
              <w:fldChar w:fldCharType="begin"/>
            </w:r>
            <w:r>
              <w:rPr>
                <w:webHidden/>
              </w:rPr>
              <w:instrText xml:space="preserve"> PAGEREF _Toc352567299 \h </w:instrText>
            </w:r>
            <w:r>
              <w:rPr>
                <w:webHidden/>
              </w:rPr>
            </w:r>
            <w:r>
              <w:rPr>
                <w:webHidden/>
              </w:rPr>
              <w:fldChar w:fldCharType="separate"/>
            </w:r>
            <w:r>
              <w:rPr>
                <w:webHidden/>
              </w:rPr>
              <w:t>32</w:t>
            </w:r>
            <w:r>
              <w:rPr>
                <w:webHidden/>
              </w:rPr>
              <w:fldChar w:fldCharType="end"/>
            </w:r>
          </w:hyperlink>
        </w:p>
        <w:p w:rsidR="00012BDB" w:rsidRDefault="00012BDB">
          <w:pPr>
            <w:pStyle w:val="TOC3"/>
            <w:rPr>
              <w:rFonts w:asciiTheme="minorHAnsi" w:hAnsiTheme="minorHAnsi" w:cstheme="minorBidi"/>
              <w:sz w:val="22"/>
              <w:szCs w:val="22"/>
            </w:rPr>
          </w:pPr>
          <w:hyperlink w:anchor="_Toc352567300" w:history="1">
            <w:r w:rsidRPr="009900B7">
              <w:rPr>
                <w:rStyle w:val="Hyperlink"/>
              </w:rPr>
              <w:t>4.2.1</w:t>
            </w:r>
            <w:r>
              <w:rPr>
                <w:rFonts w:asciiTheme="minorHAnsi" w:hAnsiTheme="minorHAnsi" w:cstheme="minorBidi"/>
                <w:sz w:val="22"/>
                <w:szCs w:val="22"/>
              </w:rPr>
              <w:tab/>
            </w:r>
            <w:r w:rsidRPr="009900B7">
              <w:rPr>
                <w:rStyle w:val="Hyperlink"/>
              </w:rPr>
              <w:t>Load Impacts by Local Capacity Area</w:t>
            </w:r>
            <w:r>
              <w:rPr>
                <w:webHidden/>
              </w:rPr>
              <w:tab/>
            </w:r>
            <w:r>
              <w:rPr>
                <w:webHidden/>
              </w:rPr>
              <w:fldChar w:fldCharType="begin"/>
            </w:r>
            <w:r>
              <w:rPr>
                <w:webHidden/>
              </w:rPr>
              <w:instrText xml:space="preserve"> PAGEREF _Toc352567300 \h </w:instrText>
            </w:r>
            <w:r>
              <w:rPr>
                <w:webHidden/>
              </w:rPr>
            </w:r>
            <w:r>
              <w:rPr>
                <w:webHidden/>
              </w:rPr>
              <w:fldChar w:fldCharType="separate"/>
            </w:r>
            <w:r>
              <w:rPr>
                <w:webHidden/>
              </w:rPr>
              <w:t>32</w:t>
            </w:r>
            <w:r>
              <w:rPr>
                <w:webHidden/>
              </w:rPr>
              <w:fldChar w:fldCharType="end"/>
            </w:r>
          </w:hyperlink>
        </w:p>
        <w:p w:rsidR="00012BDB" w:rsidRDefault="00012BDB">
          <w:pPr>
            <w:pStyle w:val="TOC3"/>
            <w:rPr>
              <w:rFonts w:asciiTheme="minorHAnsi" w:hAnsiTheme="minorHAnsi" w:cstheme="minorBidi"/>
              <w:sz w:val="22"/>
              <w:szCs w:val="22"/>
            </w:rPr>
          </w:pPr>
          <w:hyperlink w:anchor="_Toc352567301" w:history="1">
            <w:r w:rsidRPr="009900B7">
              <w:rPr>
                <w:rStyle w:val="Hyperlink"/>
              </w:rPr>
              <w:t>4.2.2</w:t>
            </w:r>
            <w:r>
              <w:rPr>
                <w:rFonts w:asciiTheme="minorHAnsi" w:hAnsiTheme="minorHAnsi" w:cstheme="minorBidi"/>
                <w:sz w:val="22"/>
                <w:szCs w:val="22"/>
              </w:rPr>
              <w:tab/>
            </w:r>
            <w:r w:rsidRPr="009900B7">
              <w:rPr>
                <w:rStyle w:val="Hyperlink"/>
              </w:rPr>
              <w:t>Load Impacts for Low Income Tariff Customers (CARE)</w:t>
            </w:r>
            <w:r>
              <w:rPr>
                <w:webHidden/>
              </w:rPr>
              <w:tab/>
            </w:r>
            <w:r>
              <w:rPr>
                <w:webHidden/>
              </w:rPr>
              <w:fldChar w:fldCharType="begin"/>
            </w:r>
            <w:r>
              <w:rPr>
                <w:webHidden/>
              </w:rPr>
              <w:instrText xml:space="preserve"> PAGEREF _Toc352567301 \h </w:instrText>
            </w:r>
            <w:r>
              <w:rPr>
                <w:webHidden/>
              </w:rPr>
            </w:r>
            <w:r>
              <w:rPr>
                <w:webHidden/>
              </w:rPr>
              <w:fldChar w:fldCharType="separate"/>
            </w:r>
            <w:r>
              <w:rPr>
                <w:webHidden/>
              </w:rPr>
              <w:t>34</w:t>
            </w:r>
            <w:r>
              <w:rPr>
                <w:webHidden/>
              </w:rPr>
              <w:fldChar w:fldCharType="end"/>
            </w:r>
          </w:hyperlink>
        </w:p>
        <w:p w:rsidR="00012BDB" w:rsidRDefault="00012BDB">
          <w:pPr>
            <w:pStyle w:val="TOC3"/>
            <w:rPr>
              <w:rFonts w:asciiTheme="minorHAnsi" w:hAnsiTheme="minorHAnsi" w:cstheme="minorBidi"/>
              <w:sz w:val="22"/>
              <w:szCs w:val="22"/>
            </w:rPr>
          </w:pPr>
          <w:hyperlink w:anchor="_Toc352567302" w:history="1">
            <w:r w:rsidRPr="009900B7">
              <w:rPr>
                <w:rStyle w:val="Hyperlink"/>
              </w:rPr>
              <w:t>4.2.3</w:t>
            </w:r>
            <w:r>
              <w:rPr>
                <w:rFonts w:asciiTheme="minorHAnsi" w:hAnsiTheme="minorHAnsi" w:cstheme="minorBidi"/>
                <w:sz w:val="22"/>
                <w:szCs w:val="22"/>
              </w:rPr>
              <w:tab/>
            </w:r>
            <w:r w:rsidRPr="009900B7">
              <w:rPr>
                <w:rStyle w:val="Hyperlink"/>
              </w:rPr>
              <w:t>Load Impacts and Event Notification</w:t>
            </w:r>
            <w:r>
              <w:rPr>
                <w:webHidden/>
              </w:rPr>
              <w:tab/>
            </w:r>
            <w:r>
              <w:rPr>
                <w:webHidden/>
              </w:rPr>
              <w:fldChar w:fldCharType="begin"/>
            </w:r>
            <w:r>
              <w:rPr>
                <w:webHidden/>
              </w:rPr>
              <w:instrText xml:space="preserve"> PAGEREF _Toc352567302 \h </w:instrText>
            </w:r>
            <w:r>
              <w:rPr>
                <w:webHidden/>
              </w:rPr>
            </w:r>
            <w:r>
              <w:rPr>
                <w:webHidden/>
              </w:rPr>
              <w:fldChar w:fldCharType="separate"/>
            </w:r>
            <w:r>
              <w:rPr>
                <w:webHidden/>
              </w:rPr>
              <w:t>34</w:t>
            </w:r>
            <w:r>
              <w:rPr>
                <w:webHidden/>
              </w:rPr>
              <w:fldChar w:fldCharType="end"/>
            </w:r>
          </w:hyperlink>
        </w:p>
        <w:p w:rsidR="00012BDB" w:rsidRDefault="00012BDB">
          <w:pPr>
            <w:pStyle w:val="TOC3"/>
            <w:rPr>
              <w:rFonts w:asciiTheme="minorHAnsi" w:hAnsiTheme="minorHAnsi" w:cstheme="minorBidi"/>
              <w:sz w:val="22"/>
              <w:szCs w:val="22"/>
            </w:rPr>
          </w:pPr>
          <w:hyperlink w:anchor="_Toc352567303" w:history="1">
            <w:r w:rsidRPr="009900B7">
              <w:rPr>
                <w:rStyle w:val="Hyperlink"/>
              </w:rPr>
              <w:t>4.2.4</w:t>
            </w:r>
            <w:r>
              <w:rPr>
                <w:rFonts w:asciiTheme="minorHAnsi" w:hAnsiTheme="minorHAnsi" w:cstheme="minorBidi"/>
                <w:sz w:val="22"/>
                <w:szCs w:val="22"/>
              </w:rPr>
              <w:tab/>
            </w:r>
            <w:r w:rsidRPr="009900B7">
              <w:rPr>
                <w:rStyle w:val="Hyperlink"/>
              </w:rPr>
              <w:t>Load Impacts and Central AC Ownership</w:t>
            </w:r>
            <w:r>
              <w:rPr>
                <w:webHidden/>
              </w:rPr>
              <w:tab/>
            </w:r>
            <w:r>
              <w:rPr>
                <w:webHidden/>
              </w:rPr>
              <w:fldChar w:fldCharType="begin"/>
            </w:r>
            <w:r>
              <w:rPr>
                <w:webHidden/>
              </w:rPr>
              <w:instrText xml:space="preserve"> PAGEREF _Toc352567303 \h </w:instrText>
            </w:r>
            <w:r>
              <w:rPr>
                <w:webHidden/>
              </w:rPr>
            </w:r>
            <w:r>
              <w:rPr>
                <w:webHidden/>
              </w:rPr>
              <w:fldChar w:fldCharType="separate"/>
            </w:r>
            <w:r>
              <w:rPr>
                <w:webHidden/>
              </w:rPr>
              <w:t>37</w:t>
            </w:r>
            <w:r>
              <w:rPr>
                <w:webHidden/>
              </w:rPr>
              <w:fldChar w:fldCharType="end"/>
            </w:r>
          </w:hyperlink>
        </w:p>
        <w:p w:rsidR="00012BDB" w:rsidRDefault="00012BDB">
          <w:pPr>
            <w:pStyle w:val="TOC3"/>
            <w:rPr>
              <w:rFonts w:asciiTheme="minorHAnsi" w:hAnsiTheme="minorHAnsi" w:cstheme="minorBidi"/>
              <w:sz w:val="22"/>
              <w:szCs w:val="22"/>
            </w:rPr>
          </w:pPr>
          <w:hyperlink w:anchor="_Toc352567304" w:history="1">
            <w:r w:rsidRPr="009900B7">
              <w:rPr>
                <w:rStyle w:val="Hyperlink"/>
              </w:rPr>
              <w:t>4.2.5</w:t>
            </w:r>
            <w:r>
              <w:rPr>
                <w:rFonts w:asciiTheme="minorHAnsi" w:hAnsiTheme="minorHAnsi" w:cstheme="minorBidi"/>
                <w:sz w:val="22"/>
                <w:szCs w:val="22"/>
              </w:rPr>
              <w:tab/>
            </w:r>
            <w:r w:rsidRPr="009900B7">
              <w:rPr>
                <w:rStyle w:val="Hyperlink"/>
              </w:rPr>
              <w:t>Characteristics of High Responders</w:t>
            </w:r>
            <w:r>
              <w:rPr>
                <w:webHidden/>
              </w:rPr>
              <w:tab/>
            </w:r>
            <w:r>
              <w:rPr>
                <w:webHidden/>
              </w:rPr>
              <w:fldChar w:fldCharType="begin"/>
            </w:r>
            <w:r>
              <w:rPr>
                <w:webHidden/>
              </w:rPr>
              <w:instrText xml:space="preserve"> PAGEREF _Toc352567304 \h </w:instrText>
            </w:r>
            <w:r>
              <w:rPr>
                <w:webHidden/>
              </w:rPr>
            </w:r>
            <w:r>
              <w:rPr>
                <w:webHidden/>
              </w:rPr>
              <w:fldChar w:fldCharType="separate"/>
            </w:r>
            <w:r>
              <w:rPr>
                <w:webHidden/>
              </w:rPr>
              <w:t>39</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05" w:history="1">
            <w:r w:rsidRPr="009900B7">
              <w:rPr>
                <w:rStyle w:val="Hyperlink"/>
              </w:rPr>
              <w:t>4.3</w:t>
            </w:r>
            <w:r>
              <w:rPr>
                <w:rFonts w:asciiTheme="minorHAnsi" w:eastAsiaTheme="minorEastAsia" w:hAnsiTheme="minorHAnsi" w:cstheme="minorBidi"/>
                <w:sz w:val="22"/>
                <w:szCs w:val="22"/>
              </w:rPr>
              <w:tab/>
            </w:r>
            <w:r w:rsidRPr="009900B7">
              <w:rPr>
                <w:rStyle w:val="Hyperlink"/>
              </w:rPr>
              <w:t>SmartRate Bill Impacts</w:t>
            </w:r>
            <w:r>
              <w:rPr>
                <w:webHidden/>
              </w:rPr>
              <w:tab/>
            </w:r>
            <w:r>
              <w:rPr>
                <w:webHidden/>
              </w:rPr>
              <w:fldChar w:fldCharType="begin"/>
            </w:r>
            <w:r>
              <w:rPr>
                <w:webHidden/>
              </w:rPr>
              <w:instrText xml:space="preserve"> PAGEREF _Toc352567305 \h </w:instrText>
            </w:r>
            <w:r>
              <w:rPr>
                <w:webHidden/>
              </w:rPr>
            </w:r>
            <w:r>
              <w:rPr>
                <w:webHidden/>
              </w:rPr>
              <w:fldChar w:fldCharType="separate"/>
            </w:r>
            <w:r>
              <w:rPr>
                <w:webHidden/>
              </w:rPr>
              <w:t>48</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06" w:history="1">
            <w:r w:rsidRPr="009900B7">
              <w:rPr>
                <w:rStyle w:val="Hyperlink"/>
              </w:rPr>
              <w:t>4.4</w:t>
            </w:r>
            <w:r>
              <w:rPr>
                <w:rFonts w:asciiTheme="minorHAnsi" w:eastAsiaTheme="minorEastAsia" w:hAnsiTheme="minorHAnsi" w:cstheme="minorBidi"/>
                <w:sz w:val="22"/>
                <w:szCs w:val="22"/>
              </w:rPr>
              <w:tab/>
            </w:r>
            <w:r w:rsidRPr="009900B7">
              <w:rPr>
                <w:rStyle w:val="Hyperlink"/>
              </w:rPr>
              <w:t>2012 Bill Protection and Reimbursements</w:t>
            </w:r>
            <w:r>
              <w:rPr>
                <w:webHidden/>
              </w:rPr>
              <w:tab/>
            </w:r>
            <w:r>
              <w:rPr>
                <w:webHidden/>
              </w:rPr>
              <w:fldChar w:fldCharType="begin"/>
            </w:r>
            <w:r>
              <w:rPr>
                <w:webHidden/>
              </w:rPr>
              <w:instrText xml:space="preserve"> PAGEREF _Toc352567306 \h </w:instrText>
            </w:r>
            <w:r>
              <w:rPr>
                <w:webHidden/>
              </w:rPr>
            </w:r>
            <w:r>
              <w:rPr>
                <w:webHidden/>
              </w:rPr>
              <w:fldChar w:fldCharType="separate"/>
            </w:r>
            <w:r>
              <w:rPr>
                <w:webHidden/>
              </w:rPr>
              <w:t>49</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07" w:history="1">
            <w:r w:rsidRPr="009900B7">
              <w:rPr>
                <w:rStyle w:val="Hyperlink"/>
              </w:rPr>
              <w:t>4.5</w:t>
            </w:r>
            <w:r>
              <w:rPr>
                <w:rFonts w:asciiTheme="minorHAnsi" w:eastAsiaTheme="minorEastAsia" w:hAnsiTheme="minorHAnsi" w:cstheme="minorBidi"/>
                <w:sz w:val="22"/>
                <w:szCs w:val="22"/>
              </w:rPr>
              <w:tab/>
            </w:r>
            <w:r w:rsidRPr="009900B7">
              <w:rPr>
                <w:rStyle w:val="Hyperlink"/>
              </w:rPr>
              <w:t>SmartRate Retention Patterns</w:t>
            </w:r>
            <w:r>
              <w:rPr>
                <w:webHidden/>
              </w:rPr>
              <w:tab/>
            </w:r>
            <w:r>
              <w:rPr>
                <w:webHidden/>
              </w:rPr>
              <w:fldChar w:fldCharType="begin"/>
            </w:r>
            <w:r>
              <w:rPr>
                <w:webHidden/>
              </w:rPr>
              <w:instrText xml:space="preserve"> PAGEREF _Toc352567307 \h </w:instrText>
            </w:r>
            <w:r>
              <w:rPr>
                <w:webHidden/>
              </w:rPr>
            </w:r>
            <w:r>
              <w:rPr>
                <w:webHidden/>
              </w:rPr>
              <w:fldChar w:fldCharType="separate"/>
            </w:r>
            <w:r>
              <w:rPr>
                <w:webHidden/>
              </w:rPr>
              <w:t>50</w:t>
            </w:r>
            <w:r>
              <w:rPr>
                <w:webHidden/>
              </w:rPr>
              <w:fldChar w:fldCharType="end"/>
            </w:r>
          </w:hyperlink>
        </w:p>
        <w:p w:rsidR="00012BDB" w:rsidRDefault="00012BDB">
          <w:pPr>
            <w:pStyle w:val="TOC3"/>
            <w:rPr>
              <w:rFonts w:asciiTheme="minorHAnsi" w:hAnsiTheme="minorHAnsi" w:cstheme="minorBidi"/>
              <w:sz w:val="22"/>
              <w:szCs w:val="22"/>
            </w:rPr>
          </w:pPr>
          <w:hyperlink w:anchor="_Toc352567308" w:history="1">
            <w:r w:rsidRPr="009900B7">
              <w:rPr>
                <w:rStyle w:val="Hyperlink"/>
              </w:rPr>
              <w:t>4.5.1</w:t>
            </w:r>
            <w:r>
              <w:rPr>
                <w:rFonts w:asciiTheme="minorHAnsi" w:hAnsiTheme="minorHAnsi" w:cstheme="minorBidi"/>
                <w:sz w:val="22"/>
                <w:szCs w:val="22"/>
              </w:rPr>
              <w:tab/>
            </w:r>
            <w:r w:rsidRPr="009900B7">
              <w:rPr>
                <w:rStyle w:val="Hyperlink"/>
              </w:rPr>
              <w:t>SmartRate Attrition Due to Accounts Closing</w:t>
            </w:r>
            <w:r>
              <w:rPr>
                <w:webHidden/>
              </w:rPr>
              <w:tab/>
            </w:r>
            <w:r>
              <w:rPr>
                <w:webHidden/>
              </w:rPr>
              <w:fldChar w:fldCharType="begin"/>
            </w:r>
            <w:r>
              <w:rPr>
                <w:webHidden/>
              </w:rPr>
              <w:instrText xml:space="preserve"> PAGEREF _Toc352567308 \h </w:instrText>
            </w:r>
            <w:r>
              <w:rPr>
                <w:webHidden/>
              </w:rPr>
            </w:r>
            <w:r>
              <w:rPr>
                <w:webHidden/>
              </w:rPr>
              <w:fldChar w:fldCharType="separate"/>
            </w:r>
            <w:r>
              <w:rPr>
                <w:webHidden/>
              </w:rPr>
              <w:t>50</w:t>
            </w:r>
            <w:r>
              <w:rPr>
                <w:webHidden/>
              </w:rPr>
              <w:fldChar w:fldCharType="end"/>
            </w:r>
          </w:hyperlink>
        </w:p>
        <w:p w:rsidR="00012BDB" w:rsidRDefault="00012BDB">
          <w:pPr>
            <w:pStyle w:val="TOC3"/>
            <w:rPr>
              <w:rFonts w:asciiTheme="minorHAnsi" w:hAnsiTheme="minorHAnsi" w:cstheme="minorBidi"/>
              <w:sz w:val="22"/>
              <w:szCs w:val="22"/>
            </w:rPr>
          </w:pPr>
          <w:hyperlink w:anchor="_Toc352567309" w:history="1">
            <w:r w:rsidRPr="009900B7">
              <w:rPr>
                <w:rStyle w:val="Hyperlink"/>
              </w:rPr>
              <w:t>4.5.2</w:t>
            </w:r>
            <w:r>
              <w:rPr>
                <w:rFonts w:asciiTheme="minorHAnsi" w:hAnsiTheme="minorHAnsi" w:cstheme="minorBidi"/>
                <w:sz w:val="22"/>
                <w:szCs w:val="22"/>
              </w:rPr>
              <w:tab/>
            </w:r>
            <w:r w:rsidRPr="009900B7">
              <w:rPr>
                <w:rStyle w:val="Hyperlink"/>
              </w:rPr>
              <w:t>SmartRate Attrition Due to De-enrollment</w:t>
            </w:r>
            <w:r>
              <w:rPr>
                <w:webHidden/>
              </w:rPr>
              <w:tab/>
            </w:r>
            <w:r>
              <w:rPr>
                <w:webHidden/>
              </w:rPr>
              <w:fldChar w:fldCharType="begin"/>
            </w:r>
            <w:r>
              <w:rPr>
                <w:webHidden/>
              </w:rPr>
              <w:instrText xml:space="preserve"> PAGEREF _Toc352567309 \h </w:instrText>
            </w:r>
            <w:r>
              <w:rPr>
                <w:webHidden/>
              </w:rPr>
            </w:r>
            <w:r>
              <w:rPr>
                <w:webHidden/>
              </w:rPr>
              <w:fldChar w:fldCharType="separate"/>
            </w:r>
            <w:r>
              <w:rPr>
                <w:webHidden/>
              </w:rPr>
              <w:t>51</w:t>
            </w:r>
            <w:r>
              <w:rPr>
                <w:webHidden/>
              </w:rPr>
              <w:fldChar w:fldCharType="end"/>
            </w:r>
          </w:hyperlink>
        </w:p>
        <w:p w:rsidR="00012BDB" w:rsidRDefault="00012BDB">
          <w:pPr>
            <w:pStyle w:val="TOC1"/>
            <w:rPr>
              <w:rFonts w:asciiTheme="minorHAnsi" w:eastAsiaTheme="minorEastAsia" w:hAnsiTheme="minorHAnsi" w:cstheme="minorBidi"/>
              <w:sz w:val="22"/>
              <w:szCs w:val="22"/>
            </w:rPr>
          </w:pPr>
          <w:hyperlink w:anchor="_Toc352567310" w:history="1">
            <w:r w:rsidRPr="009900B7">
              <w:rPr>
                <w:rStyle w:val="Hyperlink"/>
              </w:rPr>
              <w:t>5</w:t>
            </w:r>
            <w:r>
              <w:rPr>
                <w:rFonts w:asciiTheme="minorHAnsi" w:eastAsiaTheme="minorEastAsia" w:hAnsiTheme="minorHAnsi" w:cstheme="minorBidi"/>
                <w:sz w:val="22"/>
                <w:szCs w:val="22"/>
              </w:rPr>
              <w:tab/>
            </w:r>
            <w:r w:rsidRPr="009900B7">
              <w:rPr>
                <w:rStyle w:val="Hyperlink"/>
              </w:rPr>
              <w:t>SmartRate Ex Ante Methods</w:t>
            </w:r>
            <w:r>
              <w:rPr>
                <w:webHidden/>
              </w:rPr>
              <w:tab/>
            </w:r>
            <w:r>
              <w:rPr>
                <w:webHidden/>
              </w:rPr>
              <w:fldChar w:fldCharType="begin"/>
            </w:r>
            <w:r>
              <w:rPr>
                <w:webHidden/>
              </w:rPr>
              <w:instrText xml:space="preserve"> PAGEREF _Toc352567310 \h </w:instrText>
            </w:r>
            <w:r>
              <w:rPr>
                <w:webHidden/>
              </w:rPr>
            </w:r>
            <w:r>
              <w:rPr>
                <w:webHidden/>
              </w:rPr>
              <w:fldChar w:fldCharType="separate"/>
            </w:r>
            <w:r>
              <w:rPr>
                <w:webHidden/>
              </w:rPr>
              <w:t>54</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11" w:history="1">
            <w:r w:rsidRPr="009900B7">
              <w:rPr>
                <w:rStyle w:val="Hyperlink"/>
              </w:rPr>
              <w:t>5.1</w:t>
            </w:r>
            <w:r>
              <w:rPr>
                <w:rFonts w:asciiTheme="minorHAnsi" w:eastAsiaTheme="minorEastAsia" w:hAnsiTheme="minorHAnsi" w:cstheme="minorBidi"/>
                <w:sz w:val="22"/>
                <w:szCs w:val="22"/>
              </w:rPr>
              <w:tab/>
            </w:r>
            <w:r w:rsidRPr="009900B7">
              <w:rPr>
                <w:rStyle w:val="Hyperlink"/>
              </w:rPr>
              <w:t>Estimating Ex Ante Load Impacts for SmartRate</w:t>
            </w:r>
            <w:r>
              <w:rPr>
                <w:webHidden/>
              </w:rPr>
              <w:tab/>
            </w:r>
            <w:r>
              <w:rPr>
                <w:webHidden/>
              </w:rPr>
              <w:fldChar w:fldCharType="begin"/>
            </w:r>
            <w:r>
              <w:rPr>
                <w:webHidden/>
              </w:rPr>
              <w:instrText xml:space="preserve"> PAGEREF _Toc352567311 \h </w:instrText>
            </w:r>
            <w:r>
              <w:rPr>
                <w:webHidden/>
              </w:rPr>
            </w:r>
            <w:r>
              <w:rPr>
                <w:webHidden/>
              </w:rPr>
              <w:fldChar w:fldCharType="separate"/>
            </w:r>
            <w:r>
              <w:rPr>
                <w:webHidden/>
              </w:rPr>
              <w:t>54</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12" w:history="1">
            <w:r w:rsidRPr="009900B7">
              <w:rPr>
                <w:rStyle w:val="Hyperlink"/>
              </w:rPr>
              <w:t>5.2</w:t>
            </w:r>
            <w:r>
              <w:rPr>
                <w:rFonts w:asciiTheme="minorHAnsi" w:eastAsiaTheme="minorEastAsia" w:hAnsiTheme="minorHAnsi" w:cstheme="minorBidi"/>
                <w:sz w:val="22"/>
                <w:szCs w:val="22"/>
              </w:rPr>
              <w:tab/>
            </w:r>
            <w:r w:rsidRPr="009900B7">
              <w:rPr>
                <w:rStyle w:val="Hyperlink"/>
              </w:rPr>
              <w:t>Adjusting Event Hours</w:t>
            </w:r>
            <w:r>
              <w:rPr>
                <w:webHidden/>
              </w:rPr>
              <w:tab/>
            </w:r>
            <w:r>
              <w:rPr>
                <w:webHidden/>
              </w:rPr>
              <w:fldChar w:fldCharType="begin"/>
            </w:r>
            <w:r>
              <w:rPr>
                <w:webHidden/>
              </w:rPr>
              <w:instrText xml:space="preserve"> PAGEREF _Toc352567312 \h </w:instrText>
            </w:r>
            <w:r>
              <w:rPr>
                <w:webHidden/>
              </w:rPr>
            </w:r>
            <w:r>
              <w:rPr>
                <w:webHidden/>
              </w:rPr>
              <w:fldChar w:fldCharType="separate"/>
            </w:r>
            <w:r>
              <w:rPr>
                <w:webHidden/>
              </w:rPr>
              <w:t>59</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13" w:history="1">
            <w:r w:rsidRPr="009900B7">
              <w:rPr>
                <w:rStyle w:val="Hyperlink"/>
              </w:rPr>
              <w:t>5.3</w:t>
            </w:r>
            <w:r>
              <w:rPr>
                <w:rFonts w:asciiTheme="minorHAnsi" w:eastAsiaTheme="minorEastAsia" w:hAnsiTheme="minorHAnsi" w:cstheme="minorBidi"/>
                <w:sz w:val="22"/>
                <w:szCs w:val="22"/>
              </w:rPr>
              <w:tab/>
            </w:r>
            <w:r w:rsidRPr="009900B7">
              <w:rPr>
                <w:rStyle w:val="Hyperlink"/>
              </w:rPr>
              <w:t>SmartRate Ex Ante Load Impact Results</w:t>
            </w:r>
            <w:r>
              <w:rPr>
                <w:webHidden/>
              </w:rPr>
              <w:tab/>
            </w:r>
            <w:r>
              <w:rPr>
                <w:webHidden/>
              </w:rPr>
              <w:fldChar w:fldCharType="begin"/>
            </w:r>
            <w:r>
              <w:rPr>
                <w:webHidden/>
              </w:rPr>
              <w:instrText xml:space="preserve"> PAGEREF _Toc352567313 \h </w:instrText>
            </w:r>
            <w:r>
              <w:rPr>
                <w:webHidden/>
              </w:rPr>
            </w:r>
            <w:r>
              <w:rPr>
                <w:webHidden/>
              </w:rPr>
              <w:fldChar w:fldCharType="separate"/>
            </w:r>
            <w:r>
              <w:rPr>
                <w:webHidden/>
              </w:rPr>
              <w:t>60</w:t>
            </w:r>
            <w:r>
              <w:rPr>
                <w:webHidden/>
              </w:rPr>
              <w:fldChar w:fldCharType="end"/>
            </w:r>
          </w:hyperlink>
        </w:p>
        <w:p w:rsidR="00012BDB" w:rsidRDefault="00012BDB">
          <w:pPr>
            <w:pStyle w:val="TOC1"/>
            <w:rPr>
              <w:rFonts w:asciiTheme="minorHAnsi" w:eastAsiaTheme="minorEastAsia" w:hAnsiTheme="minorHAnsi" w:cstheme="minorBidi"/>
              <w:sz w:val="22"/>
              <w:szCs w:val="22"/>
            </w:rPr>
          </w:pPr>
          <w:hyperlink w:anchor="_Toc352567314" w:history="1">
            <w:r w:rsidRPr="009900B7">
              <w:rPr>
                <w:rStyle w:val="Hyperlink"/>
              </w:rPr>
              <w:t>6</w:t>
            </w:r>
            <w:r>
              <w:rPr>
                <w:rFonts w:asciiTheme="minorHAnsi" w:eastAsiaTheme="minorEastAsia" w:hAnsiTheme="minorHAnsi" w:cstheme="minorBidi"/>
                <w:sz w:val="22"/>
                <w:szCs w:val="22"/>
              </w:rPr>
              <w:tab/>
            </w:r>
            <w:r w:rsidRPr="009900B7">
              <w:rPr>
                <w:rStyle w:val="Hyperlink"/>
              </w:rPr>
              <w:t>TOU Ex Post Evaluation Methodology</w:t>
            </w:r>
            <w:r>
              <w:rPr>
                <w:webHidden/>
              </w:rPr>
              <w:tab/>
            </w:r>
            <w:r>
              <w:rPr>
                <w:webHidden/>
              </w:rPr>
              <w:fldChar w:fldCharType="begin"/>
            </w:r>
            <w:r>
              <w:rPr>
                <w:webHidden/>
              </w:rPr>
              <w:instrText xml:space="preserve"> PAGEREF _Toc352567314 \h </w:instrText>
            </w:r>
            <w:r>
              <w:rPr>
                <w:webHidden/>
              </w:rPr>
            </w:r>
            <w:r>
              <w:rPr>
                <w:webHidden/>
              </w:rPr>
              <w:fldChar w:fldCharType="separate"/>
            </w:r>
            <w:r>
              <w:rPr>
                <w:webHidden/>
              </w:rPr>
              <w:t>63</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15" w:history="1">
            <w:r w:rsidRPr="009900B7">
              <w:rPr>
                <w:rStyle w:val="Hyperlink"/>
              </w:rPr>
              <w:t>6.1</w:t>
            </w:r>
            <w:r>
              <w:rPr>
                <w:rFonts w:asciiTheme="minorHAnsi" w:eastAsiaTheme="minorEastAsia" w:hAnsiTheme="minorHAnsi" w:cstheme="minorBidi"/>
                <w:sz w:val="22"/>
                <w:szCs w:val="22"/>
              </w:rPr>
              <w:tab/>
            </w:r>
            <w:r w:rsidRPr="009900B7">
              <w:rPr>
                <w:rStyle w:val="Hyperlink"/>
              </w:rPr>
              <w:t>Control Group Selection</w:t>
            </w:r>
            <w:r>
              <w:rPr>
                <w:webHidden/>
              </w:rPr>
              <w:tab/>
            </w:r>
            <w:r>
              <w:rPr>
                <w:webHidden/>
              </w:rPr>
              <w:fldChar w:fldCharType="begin"/>
            </w:r>
            <w:r>
              <w:rPr>
                <w:webHidden/>
              </w:rPr>
              <w:instrText xml:space="preserve"> PAGEREF _Toc352567315 \h </w:instrText>
            </w:r>
            <w:r>
              <w:rPr>
                <w:webHidden/>
              </w:rPr>
            </w:r>
            <w:r>
              <w:rPr>
                <w:webHidden/>
              </w:rPr>
              <w:fldChar w:fldCharType="separate"/>
            </w:r>
            <w:r>
              <w:rPr>
                <w:webHidden/>
              </w:rPr>
              <w:t>64</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16" w:history="1">
            <w:r w:rsidRPr="009900B7">
              <w:rPr>
                <w:rStyle w:val="Hyperlink"/>
              </w:rPr>
              <w:t>6.2</w:t>
            </w:r>
            <w:r>
              <w:rPr>
                <w:rFonts w:asciiTheme="minorHAnsi" w:eastAsiaTheme="minorEastAsia" w:hAnsiTheme="minorHAnsi" w:cstheme="minorBidi"/>
                <w:sz w:val="22"/>
                <w:szCs w:val="22"/>
              </w:rPr>
              <w:tab/>
            </w:r>
            <w:r w:rsidRPr="009900B7">
              <w:rPr>
                <w:rStyle w:val="Hyperlink"/>
              </w:rPr>
              <w:t>Analysis Method</w:t>
            </w:r>
            <w:r>
              <w:rPr>
                <w:webHidden/>
              </w:rPr>
              <w:tab/>
            </w:r>
            <w:r>
              <w:rPr>
                <w:webHidden/>
              </w:rPr>
              <w:fldChar w:fldCharType="begin"/>
            </w:r>
            <w:r>
              <w:rPr>
                <w:webHidden/>
              </w:rPr>
              <w:instrText xml:space="preserve"> PAGEREF _Toc352567316 \h </w:instrText>
            </w:r>
            <w:r>
              <w:rPr>
                <w:webHidden/>
              </w:rPr>
            </w:r>
            <w:r>
              <w:rPr>
                <w:webHidden/>
              </w:rPr>
              <w:fldChar w:fldCharType="separate"/>
            </w:r>
            <w:r>
              <w:rPr>
                <w:webHidden/>
              </w:rPr>
              <w:t>65</w:t>
            </w:r>
            <w:r>
              <w:rPr>
                <w:webHidden/>
              </w:rPr>
              <w:fldChar w:fldCharType="end"/>
            </w:r>
          </w:hyperlink>
        </w:p>
        <w:p w:rsidR="00012BDB" w:rsidRDefault="00012BDB">
          <w:pPr>
            <w:pStyle w:val="TOC1"/>
            <w:rPr>
              <w:rFonts w:asciiTheme="minorHAnsi" w:eastAsiaTheme="minorEastAsia" w:hAnsiTheme="minorHAnsi" w:cstheme="minorBidi"/>
              <w:sz w:val="22"/>
              <w:szCs w:val="22"/>
            </w:rPr>
          </w:pPr>
          <w:hyperlink w:anchor="_Toc352567317" w:history="1">
            <w:r w:rsidRPr="009900B7">
              <w:rPr>
                <w:rStyle w:val="Hyperlink"/>
              </w:rPr>
              <w:t>7</w:t>
            </w:r>
            <w:r>
              <w:rPr>
                <w:rFonts w:asciiTheme="minorHAnsi" w:eastAsiaTheme="minorEastAsia" w:hAnsiTheme="minorHAnsi" w:cstheme="minorBidi"/>
                <w:sz w:val="22"/>
                <w:szCs w:val="22"/>
              </w:rPr>
              <w:tab/>
            </w:r>
            <w:r w:rsidRPr="009900B7">
              <w:rPr>
                <w:rStyle w:val="Hyperlink"/>
              </w:rPr>
              <w:t>TOU 2012 Ex Post Load Impacts</w:t>
            </w:r>
            <w:r>
              <w:rPr>
                <w:webHidden/>
              </w:rPr>
              <w:tab/>
            </w:r>
            <w:r>
              <w:rPr>
                <w:webHidden/>
              </w:rPr>
              <w:fldChar w:fldCharType="begin"/>
            </w:r>
            <w:r>
              <w:rPr>
                <w:webHidden/>
              </w:rPr>
              <w:instrText xml:space="preserve"> PAGEREF _Toc352567317 \h </w:instrText>
            </w:r>
            <w:r>
              <w:rPr>
                <w:webHidden/>
              </w:rPr>
            </w:r>
            <w:r>
              <w:rPr>
                <w:webHidden/>
              </w:rPr>
              <w:fldChar w:fldCharType="separate"/>
            </w:r>
            <w:r>
              <w:rPr>
                <w:webHidden/>
              </w:rPr>
              <w:t>67</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18" w:history="1">
            <w:r w:rsidRPr="009900B7">
              <w:rPr>
                <w:rStyle w:val="Hyperlink"/>
              </w:rPr>
              <w:t>7.1</w:t>
            </w:r>
            <w:r>
              <w:rPr>
                <w:rFonts w:asciiTheme="minorHAnsi" w:eastAsiaTheme="minorEastAsia" w:hAnsiTheme="minorHAnsi" w:cstheme="minorBidi"/>
                <w:sz w:val="22"/>
                <w:szCs w:val="22"/>
              </w:rPr>
              <w:tab/>
            </w:r>
            <w:r w:rsidRPr="009900B7">
              <w:rPr>
                <w:rStyle w:val="Hyperlink"/>
              </w:rPr>
              <w:t>2012 System Peak Day Load Impacts</w:t>
            </w:r>
            <w:r>
              <w:rPr>
                <w:webHidden/>
              </w:rPr>
              <w:tab/>
            </w:r>
            <w:r>
              <w:rPr>
                <w:webHidden/>
              </w:rPr>
              <w:fldChar w:fldCharType="begin"/>
            </w:r>
            <w:r>
              <w:rPr>
                <w:webHidden/>
              </w:rPr>
              <w:instrText xml:space="preserve"> PAGEREF _Toc352567318 \h </w:instrText>
            </w:r>
            <w:r>
              <w:rPr>
                <w:webHidden/>
              </w:rPr>
            </w:r>
            <w:r>
              <w:rPr>
                <w:webHidden/>
              </w:rPr>
              <w:fldChar w:fldCharType="separate"/>
            </w:r>
            <w:r>
              <w:rPr>
                <w:webHidden/>
              </w:rPr>
              <w:t>67</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19" w:history="1">
            <w:r w:rsidRPr="009900B7">
              <w:rPr>
                <w:rStyle w:val="Hyperlink"/>
              </w:rPr>
              <w:t>7.2</w:t>
            </w:r>
            <w:r>
              <w:rPr>
                <w:rFonts w:asciiTheme="minorHAnsi" w:eastAsiaTheme="minorEastAsia" w:hAnsiTheme="minorHAnsi" w:cstheme="minorBidi"/>
                <w:sz w:val="22"/>
                <w:szCs w:val="22"/>
              </w:rPr>
              <w:tab/>
            </w:r>
            <w:r w:rsidRPr="009900B7">
              <w:rPr>
                <w:rStyle w:val="Hyperlink"/>
              </w:rPr>
              <w:t>Monthly System Peak Day Load Impacts</w:t>
            </w:r>
            <w:r>
              <w:rPr>
                <w:webHidden/>
              </w:rPr>
              <w:tab/>
            </w:r>
            <w:r>
              <w:rPr>
                <w:webHidden/>
              </w:rPr>
              <w:fldChar w:fldCharType="begin"/>
            </w:r>
            <w:r>
              <w:rPr>
                <w:webHidden/>
              </w:rPr>
              <w:instrText xml:space="preserve"> PAGEREF _Toc352567319 \h </w:instrText>
            </w:r>
            <w:r>
              <w:rPr>
                <w:webHidden/>
              </w:rPr>
            </w:r>
            <w:r>
              <w:rPr>
                <w:webHidden/>
              </w:rPr>
              <w:fldChar w:fldCharType="separate"/>
            </w:r>
            <w:r>
              <w:rPr>
                <w:webHidden/>
              </w:rPr>
              <w:t>70</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20" w:history="1">
            <w:r w:rsidRPr="009900B7">
              <w:rPr>
                <w:rStyle w:val="Hyperlink"/>
              </w:rPr>
              <w:t>7.3</w:t>
            </w:r>
            <w:r>
              <w:rPr>
                <w:rFonts w:asciiTheme="minorHAnsi" w:eastAsiaTheme="minorEastAsia" w:hAnsiTheme="minorHAnsi" w:cstheme="minorBidi"/>
                <w:sz w:val="22"/>
                <w:szCs w:val="22"/>
              </w:rPr>
              <w:tab/>
            </w:r>
            <w:r w:rsidRPr="009900B7">
              <w:rPr>
                <w:rStyle w:val="Hyperlink"/>
              </w:rPr>
              <w:t>Average Weekday Load Impact by Month</w:t>
            </w:r>
            <w:r>
              <w:rPr>
                <w:webHidden/>
              </w:rPr>
              <w:tab/>
            </w:r>
            <w:r>
              <w:rPr>
                <w:webHidden/>
              </w:rPr>
              <w:fldChar w:fldCharType="begin"/>
            </w:r>
            <w:r>
              <w:rPr>
                <w:webHidden/>
              </w:rPr>
              <w:instrText xml:space="preserve"> PAGEREF _Toc352567320 \h </w:instrText>
            </w:r>
            <w:r>
              <w:rPr>
                <w:webHidden/>
              </w:rPr>
            </w:r>
            <w:r>
              <w:rPr>
                <w:webHidden/>
              </w:rPr>
              <w:fldChar w:fldCharType="separate"/>
            </w:r>
            <w:r>
              <w:rPr>
                <w:webHidden/>
              </w:rPr>
              <w:t>70</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21" w:history="1">
            <w:r w:rsidRPr="009900B7">
              <w:rPr>
                <w:rStyle w:val="Hyperlink"/>
              </w:rPr>
              <w:t>7.4</w:t>
            </w:r>
            <w:r>
              <w:rPr>
                <w:rFonts w:asciiTheme="minorHAnsi" w:eastAsiaTheme="minorEastAsia" w:hAnsiTheme="minorHAnsi" w:cstheme="minorBidi"/>
                <w:sz w:val="22"/>
                <w:szCs w:val="22"/>
              </w:rPr>
              <w:tab/>
            </w:r>
            <w:r w:rsidRPr="009900B7">
              <w:rPr>
                <w:rStyle w:val="Hyperlink"/>
              </w:rPr>
              <w:t>Load Impacts by Geographic Region</w:t>
            </w:r>
            <w:r>
              <w:rPr>
                <w:webHidden/>
              </w:rPr>
              <w:tab/>
            </w:r>
            <w:r>
              <w:rPr>
                <w:webHidden/>
              </w:rPr>
              <w:fldChar w:fldCharType="begin"/>
            </w:r>
            <w:r>
              <w:rPr>
                <w:webHidden/>
              </w:rPr>
              <w:instrText xml:space="preserve"> PAGEREF _Toc352567321 \h </w:instrText>
            </w:r>
            <w:r>
              <w:rPr>
                <w:webHidden/>
              </w:rPr>
            </w:r>
            <w:r>
              <w:rPr>
                <w:webHidden/>
              </w:rPr>
              <w:fldChar w:fldCharType="separate"/>
            </w:r>
            <w:r>
              <w:rPr>
                <w:webHidden/>
              </w:rPr>
              <w:t>71</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22" w:history="1">
            <w:r w:rsidRPr="009900B7">
              <w:rPr>
                <w:rStyle w:val="Hyperlink"/>
              </w:rPr>
              <w:t>7.5</w:t>
            </w:r>
            <w:r>
              <w:rPr>
                <w:rFonts w:asciiTheme="minorHAnsi" w:eastAsiaTheme="minorEastAsia" w:hAnsiTheme="minorHAnsi" w:cstheme="minorBidi"/>
                <w:sz w:val="22"/>
                <w:szCs w:val="22"/>
              </w:rPr>
              <w:tab/>
            </w:r>
            <w:r w:rsidRPr="009900B7">
              <w:rPr>
                <w:rStyle w:val="Hyperlink"/>
              </w:rPr>
              <w:t>Bill Impacts for TOU</w:t>
            </w:r>
            <w:r>
              <w:rPr>
                <w:webHidden/>
              </w:rPr>
              <w:tab/>
            </w:r>
            <w:r>
              <w:rPr>
                <w:webHidden/>
              </w:rPr>
              <w:fldChar w:fldCharType="begin"/>
            </w:r>
            <w:r>
              <w:rPr>
                <w:webHidden/>
              </w:rPr>
              <w:instrText xml:space="preserve"> PAGEREF _Toc352567322 \h </w:instrText>
            </w:r>
            <w:r>
              <w:rPr>
                <w:webHidden/>
              </w:rPr>
            </w:r>
            <w:r>
              <w:rPr>
                <w:webHidden/>
              </w:rPr>
              <w:fldChar w:fldCharType="separate"/>
            </w:r>
            <w:r>
              <w:rPr>
                <w:webHidden/>
              </w:rPr>
              <w:t>73</w:t>
            </w:r>
            <w:r>
              <w:rPr>
                <w:webHidden/>
              </w:rPr>
              <w:fldChar w:fldCharType="end"/>
            </w:r>
          </w:hyperlink>
        </w:p>
        <w:p w:rsidR="00012BDB" w:rsidRDefault="00012BDB">
          <w:pPr>
            <w:pStyle w:val="TOC1"/>
            <w:rPr>
              <w:rFonts w:asciiTheme="minorHAnsi" w:eastAsiaTheme="minorEastAsia" w:hAnsiTheme="minorHAnsi" w:cstheme="minorBidi"/>
              <w:sz w:val="22"/>
              <w:szCs w:val="22"/>
            </w:rPr>
          </w:pPr>
          <w:hyperlink w:anchor="_Toc352567323" w:history="1">
            <w:r w:rsidRPr="009900B7">
              <w:rPr>
                <w:rStyle w:val="Hyperlink"/>
              </w:rPr>
              <w:t>8</w:t>
            </w:r>
            <w:r>
              <w:rPr>
                <w:rFonts w:asciiTheme="minorHAnsi" w:eastAsiaTheme="minorEastAsia" w:hAnsiTheme="minorHAnsi" w:cstheme="minorBidi"/>
                <w:sz w:val="22"/>
                <w:szCs w:val="22"/>
              </w:rPr>
              <w:tab/>
            </w:r>
            <w:r w:rsidRPr="009900B7">
              <w:rPr>
                <w:rStyle w:val="Hyperlink"/>
              </w:rPr>
              <w:t>TOU Ex Ante Load Impacts</w:t>
            </w:r>
            <w:r>
              <w:rPr>
                <w:webHidden/>
              </w:rPr>
              <w:tab/>
            </w:r>
            <w:r>
              <w:rPr>
                <w:webHidden/>
              </w:rPr>
              <w:fldChar w:fldCharType="begin"/>
            </w:r>
            <w:r>
              <w:rPr>
                <w:webHidden/>
              </w:rPr>
              <w:instrText xml:space="preserve"> PAGEREF _Toc352567323 \h </w:instrText>
            </w:r>
            <w:r>
              <w:rPr>
                <w:webHidden/>
              </w:rPr>
            </w:r>
            <w:r>
              <w:rPr>
                <w:webHidden/>
              </w:rPr>
              <w:fldChar w:fldCharType="separate"/>
            </w:r>
            <w:r>
              <w:rPr>
                <w:webHidden/>
              </w:rPr>
              <w:t>75</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24" w:history="1">
            <w:r w:rsidRPr="009900B7">
              <w:rPr>
                <w:rStyle w:val="Hyperlink"/>
              </w:rPr>
              <w:t>8.1</w:t>
            </w:r>
            <w:r>
              <w:rPr>
                <w:rFonts w:asciiTheme="minorHAnsi" w:eastAsiaTheme="minorEastAsia" w:hAnsiTheme="minorHAnsi" w:cstheme="minorBidi"/>
                <w:sz w:val="22"/>
                <w:szCs w:val="22"/>
              </w:rPr>
              <w:tab/>
            </w:r>
            <w:r w:rsidRPr="009900B7">
              <w:rPr>
                <w:rStyle w:val="Hyperlink"/>
              </w:rPr>
              <w:t>Methodology</w:t>
            </w:r>
            <w:r>
              <w:rPr>
                <w:webHidden/>
              </w:rPr>
              <w:tab/>
            </w:r>
            <w:r>
              <w:rPr>
                <w:webHidden/>
              </w:rPr>
              <w:fldChar w:fldCharType="begin"/>
            </w:r>
            <w:r>
              <w:rPr>
                <w:webHidden/>
              </w:rPr>
              <w:instrText xml:space="preserve"> PAGEREF _Toc352567324 \h </w:instrText>
            </w:r>
            <w:r>
              <w:rPr>
                <w:webHidden/>
              </w:rPr>
            </w:r>
            <w:r>
              <w:rPr>
                <w:webHidden/>
              </w:rPr>
              <w:fldChar w:fldCharType="separate"/>
            </w:r>
            <w:r>
              <w:rPr>
                <w:webHidden/>
              </w:rPr>
              <w:t>75</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25" w:history="1">
            <w:r w:rsidRPr="009900B7">
              <w:rPr>
                <w:rStyle w:val="Hyperlink"/>
              </w:rPr>
              <w:t>8.2</w:t>
            </w:r>
            <w:r>
              <w:rPr>
                <w:rFonts w:asciiTheme="minorHAnsi" w:eastAsiaTheme="minorEastAsia" w:hAnsiTheme="minorHAnsi" w:cstheme="minorBidi"/>
                <w:sz w:val="22"/>
                <w:szCs w:val="22"/>
              </w:rPr>
              <w:tab/>
            </w:r>
            <w:r w:rsidRPr="009900B7">
              <w:rPr>
                <w:rStyle w:val="Hyperlink"/>
              </w:rPr>
              <w:t>Enrollment Forecast</w:t>
            </w:r>
            <w:r>
              <w:rPr>
                <w:webHidden/>
              </w:rPr>
              <w:tab/>
            </w:r>
            <w:r>
              <w:rPr>
                <w:webHidden/>
              </w:rPr>
              <w:fldChar w:fldCharType="begin"/>
            </w:r>
            <w:r>
              <w:rPr>
                <w:webHidden/>
              </w:rPr>
              <w:instrText xml:space="preserve"> PAGEREF _Toc352567325 \h </w:instrText>
            </w:r>
            <w:r>
              <w:rPr>
                <w:webHidden/>
              </w:rPr>
            </w:r>
            <w:r>
              <w:rPr>
                <w:webHidden/>
              </w:rPr>
              <w:fldChar w:fldCharType="separate"/>
            </w:r>
            <w:r>
              <w:rPr>
                <w:webHidden/>
              </w:rPr>
              <w:t>77</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26" w:history="1">
            <w:r w:rsidRPr="009900B7">
              <w:rPr>
                <w:rStyle w:val="Hyperlink"/>
              </w:rPr>
              <w:t>8.3</w:t>
            </w:r>
            <w:r>
              <w:rPr>
                <w:rFonts w:asciiTheme="minorHAnsi" w:eastAsiaTheme="minorEastAsia" w:hAnsiTheme="minorHAnsi" w:cstheme="minorBidi"/>
                <w:sz w:val="22"/>
                <w:szCs w:val="22"/>
              </w:rPr>
              <w:tab/>
            </w:r>
            <w:r w:rsidRPr="009900B7">
              <w:rPr>
                <w:rStyle w:val="Hyperlink"/>
              </w:rPr>
              <w:t>Aggregate Load Impacts by Year</w:t>
            </w:r>
            <w:r>
              <w:rPr>
                <w:webHidden/>
              </w:rPr>
              <w:tab/>
            </w:r>
            <w:r>
              <w:rPr>
                <w:webHidden/>
              </w:rPr>
              <w:fldChar w:fldCharType="begin"/>
            </w:r>
            <w:r>
              <w:rPr>
                <w:webHidden/>
              </w:rPr>
              <w:instrText xml:space="preserve"> PAGEREF _Toc352567326 \h </w:instrText>
            </w:r>
            <w:r>
              <w:rPr>
                <w:webHidden/>
              </w:rPr>
            </w:r>
            <w:r>
              <w:rPr>
                <w:webHidden/>
              </w:rPr>
              <w:fldChar w:fldCharType="separate"/>
            </w:r>
            <w:r>
              <w:rPr>
                <w:webHidden/>
              </w:rPr>
              <w:t>78</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27" w:history="1">
            <w:r w:rsidRPr="009900B7">
              <w:rPr>
                <w:rStyle w:val="Hyperlink"/>
              </w:rPr>
              <w:t>8.4</w:t>
            </w:r>
            <w:r>
              <w:rPr>
                <w:rFonts w:asciiTheme="minorHAnsi" w:eastAsiaTheme="minorEastAsia" w:hAnsiTheme="minorHAnsi" w:cstheme="minorBidi"/>
                <w:sz w:val="22"/>
                <w:szCs w:val="22"/>
              </w:rPr>
              <w:tab/>
            </w:r>
            <w:r w:rsidRPr="009900B7">
              <w:rPr>
                <w:rStyle w:val="Hyperlink"/>
              </w:rPr>
              <w:t>1-in-2 Annual Peak Impacts per Customer</w:t>
            </w:r>
            <w:r>
              <w:rPr>
                <w:webHidden/>
              </w:rPr>
              <w:tab/>
            </w:r>
            <w:r>
              <w:rPr>
                <w:webHidden/>
              </w:rPr>
              <w:fldChar w:fldCharType="begin"/>
            </w:r>
            <w:r>
              <w:rPr>
                <w:webHidden/>
              </w:rPr>
              <w:instrText xml:space="preserve"> PAGEREF _Toc352567327 \h </w:instrText>
            </w:r>
            <w:r>
              <w:rPr>
                <w:webHidden/>
              </w:rPr>
            </w:r>
            <w:r>
              <w:rPr>
                <w:webHidden/>
              </w:rPr>
              <w:fldChar w:fldCharType="separate"/>
            </w:r>
            <w:r>
              <w:rPr>
                <w:webHidden/>
              </w:rPr>
              <w:t>80</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28" w:history="1">
            <w:r w:rsidRPr="009900B7">
              <w:rPr>
                <w:rStyle w:val="Hyperlink"/>
              </w:rPr>
              <w:t>8.5</w:t>
            </w:r>
            <w:r>
              <w:rPr>
                <w:rFonts w:asciiTheme="minorHAnsi" w:eastAsiaTheme="minorEastAsia" w:hAnsiTheme="minorHAnsi" w:cstheme="minorBidi"/>
                <w:sz w:val="22"/>
                <w:szCs w:val="22"/>
              </w:rPr>
              <w:tab/>
            </w:r>
            <w:r w:rsidRPr="009900B7">
              <w:rPr>
                <w:rStyle w:val="Hyperlink"/>
              </w:rPr>
              <w:t>Projected 1-in-2 and 1-in-10 Aggregate Peak Period Impacts by Forecast Year and Month</w:t>
            </w:r>
            <w:r>
              <w:rPr>
                <w:webHidden/>
              </w:rPr>
              <w:tab/>
            </w:r>
            <w:r>
              <w:rPr>
                <w:webHidden/>
              </w:rPr>
              <w:fldChar w:fldCharType="begin"/>
            </w:r>
            <w:r>
              <w:rPr>
                <w:webHidden/>
              </w:rPr>
              <w:instrText xml:space="preserve"> PAGEREF _Toc352567328 \h </w:instrText>
            </w:r>
            <w:r>
              <w:rPr>
                <w:webHidden/>
              </w:rPr>
            </w:r>
            <w:r>
              <w:rPr>
                <w:webHidden/>
              </w:rPr>
              <w:fldChar w:fldCharType="separate"/>
            </w:r>
            <w:r>
              <w:rPr>
                <w:webHidden/>
              </w:rPr>
              <w:t>83</w:t>
            </w:r>
            <w:r>
              <w:rPr>
                <w:webHidden/>
              </w:rPr>
              <w:fldChar w:fldCharType="end"/>
            </w:r>
          </w:hyperlink>
        </w:p>
        <w:p w:rsidR="00012BDB" w:rsidRDefault="00012BDB">
          <w:pPr>
            <w:pStyle w:val="TOC2"/>
            <w:rPr>
              <w:rFonts w:asciiTheme="minorHAnsi" w:eastAsiaTheme="minorEastAsia" w:hAnsiTheme="minorHAnsi" w:cstheme="minorBidi"/>
              <w:sz w:val="22"/>
              <w:szCs w:val="22"/>
            </w:rPr>
          </w:pPr>
          <w:hyperlink w:anchor="_Toc352567329" w:history="1">
            <w:r w:rsidRPr="009900B7">
              <w:rPr>
                <w:rStyle w:val="Hyperlink"/>
              </w:rPr>
              <w:t>8.6</w:t>
            </w:r>
            <w:r>
              <w:rPr>
                <w:rFonts w:asciiTheme="minorHAnsi" w:eastAsiaTheme="minorEastAsia" w:hAnsiTheme="minorHAnsi" w:cstheme="minorBidi"/>
                <w:sz w:val="22"/>
                <w:szCs w:val="22"/>
              </w:rPr>
              <w:tab/>
            </w:r>
            <w:r w:rsidRPr="009900B7">
              <w:rPr>
                <w:rStyle w:val="Hyperlink"/>
              </w:rPr>
              <w:t>Comparison of Ex Ante and Ex Post Results</w:t>
            </w:r>
            <w:r>
              <w:rPr>
                <w:webHidden/>
              </w:rPr>
              <w:tab/>
            </w:r>
            <w:r>
              <w:rPr>
                <w:webHidden/>
              </w:rPr>
              <w:fldChar w:fldCharType="begin"/>
            </w:r>
            <w:r>
              <w:rPr>
                <w:webHidden/>
              </w:rPr>
              <w:instrText xml:space="preserve"> PAGEREF _Toc352567329 \h </w:instrText>
            </w:r>
            <w:r>
              <w:rPr>
                <w:webHidden/>
              </w:rPr>
            </w:r>
            <w:r>
              <w:rPr>
                <w:webHidden/>
              </w:rPr>
              <w:fldChar w:fldCharType="separate"/>
            </w:r>
            <w:r>
              <w:rPr>
                <w:webHidden/>
              </w:rPr>
              <w:t>84</w:t>
            </w:r>
            <w:r>
              <w:rPr>
                <w:webHidden/>
              </w:rPr>
              <w:fldChar w:fldCharType="end"/>
            </w:r>
          </w:hyperlink>
        </w:p>
        <w:p w:rsidR="00012BDB" w:rsidRDefault="00012BDB">
          <w:pPr>
            <w:pStyle w:val="TOC1"/>
            <w:rPr>
              <w:rFonts w:asciiTheme="minorHAnsi" w:eastAsiaTheme="minorEastAsia" w:hAnsiTheme="minorHAnsi" w:cstheme="minorBidi"/>
              <w:sz w:val="22"/>
              <w:szCs w:val="22"/>
            </w:rPr>
          </w:pPr>
          <w:hyperlink w:anchor="_Toc352567330" w:history="1">
            <w:r w:rsidRPr="009900B7">
              <w:rPr>
                <w:rStyle w:val="Hyperlink"/>
                <w:rFonts w:ascii="Arial" w:hAnsi="Arial"/>
                <w:snapToGrid w:val="0"/>
                <w:w w:val="0"/>
              </w:rPr>
              <w:t>Appendix A</w:t>
            </w:r>
            <w:r>
              <w:rPr>
                <w:rFonts w:asciiTheme="minorHAnsi" w:eastAsiaTheme="minorEastAsia" w:hAnsiTheme="minorHAnsi" w:cstheme="minorBidi"/>
                <w:sz w:val="22"/>
                <w:szCs w:val="22"/>
              </w:rPr>
              <w:tab/>
            </w:r>
            <w:r w:rsidRPr="009900B7">
              <w:rPr>
                <w:rStyle w:val="Hyperlink"/>
              </w:rPr>
              <w:t>Details on the Propensity Score Match for 2012 SmartRate Ex Post Estimation</w:t>
            </w:r>
            <w:r>
              <w:rPr>
                <w:webHidden/>
              </w:rPr>
              <w:tab/>
            </w:r>
            <w:r>
              <w:rPr>
                <w:webHidden/>
              </w:rPr>
              <w:fldChar w:fldCharType="begin"/>
            </w:r>
            <w:r>
              <w:rPr>
                <w:webHidden/>
              </w:rPr>
              <w:instrText xml:space="preserve"> PAGEREF _Toc352567330 \h </w:instrText>
            </w:r>
            <w:r>
              <w:rPr>
                <w:webHidden/>
              </w:rPr>
            </w:r>
            <w:r>
              <w:rPr>
                <w:webHidden/>
              </w:rPr>
              <w:fldChar w:fldCharType="separate"/>
            </w:r>
            <w:r>
              <w:rPr>
                <w:webHidden/>
              </w:rPr>
              <w:t>86</w:t>
            </w:r>
            <w:r>
              <w:rPr>
                <w:webHidden/>
              </w:rPr>
              <w:fldChar w:fldCharType="end"/>
            </w:r>
          </w:hyperlink>
        </w:p>
        <w:p w:rsidR="00012BDB" w:rsidRDefault="00012BDB">
          <w:pPr>
            <w:pStyle w:val="TOC1"/>
            <w:rPr>
              <w:rFonts w:asciiTheme="minorHAnsi" w:eastAsiaTheme="minorEastAsia" w:hAnsiTheme="minorHAnsi" w:cstheme="minorBidi"/>
              <w:sz w:val="22"/>
              <w:szCs w:val="22"/>
            </w:rPr>
          </w:pPr>
          <w:hyperlink w:anchor="_Toc352567331" w:history="1">
            <w:r w:rsidRPr="009900B7">
              <w:rPr>
                <w:rStyle w:val="Hyperlink"/>
                <w:rFonts w:ascii="Arial" w:hAnsi="Arial"/>
                <w:snapToGrid w:val="0"/>
                <w:w w:val="0"/>
              </w:rPr>
              <w:t>Appendix B</w:t>
            </w:r>
            <w:r>
              <w:rPr>
                <w:rFonts w:asciiTheme="minorHAnsi" w:eastAsiaTheme="minorEastAsia" w:hAnsiTheme="minorHAnsi" w:cstheme="minorBidi"/>
                <w:sz w:val="22"/>
                <w:szCs w:val="22"/>
              </w:rPr>
              <w:tab/>
            </w:r>
            <w:r w:rsidRPr="009900B7">
              <w:rPr>
                <w:rStyle w:val="Hyperlink"/>
              </w:rPr>
              <w:t>Details of Determining High Responders</w:t>
            </w:r>
            <w:r>
              <w:rPr>
                <w:webHidden/>
              </w:rPr>
              <w:tab/>
            </w:r>
            <w:r>
              <w:rPr>
                <w:webHidden/>
              </w:rPr>
              <w:fldChar w:fldCharType="begin"/>
            </w:r>
            <w:r>
              <w:rPr>
                <w:webHidden/>
              </w:rPr>
              <w:instrText xml:space="preserve"> PAGEREF _Toc352567331 \h </w:instrText>
            </w:r>
            <w:r>
              <w:rPr>
                <w:webHidden/>
              </w:rPr>
            </w:r>
            <w:r>
              <w:rPr>
                <w:webHidden/>
              </w:rPr>
              <w:fldChar w:fldCharType="separate"/>
            </w:r>
            <w:r>
              <w:rPr>
                <w:webHidden/>
              </w:rPr>
              <w:t>95</w:t>
            </w:r>
            <w:r>
              <w:rPr>
                <w:webHidden/>
              </w:rPr>
              <w:fldChar w:fldCharType="end"/>
            </w:r>
          </w:hyperlink>
        </w:p>
        <w:p w:rsidR="00012BDB" w:rsidRDefault="00012BDB">
          <w:pPr>
            <w:pStyle w:val="TOC1"/>
            <w:rPr>
              <w:rFonts w:asciiTheme="minorHAnsi" w:eastAsiaTheme="minorEastAsia" w:hAnsiTheme="minorHAnsi" w:cstheme="minorBidi"/>
              <w:sz w:val="22"/>
              <w:szCs w:val="22"/>
            </w:rPr>
          </w:pPr>
          <w:hyperlink w:anchor="_Toc352567332" w:history="1">
            <w:r w:rsidRPr="009900B7">
              <w:rPr>
                <w:rStyle w:val="Hyperlink"/>
                <w:rFonts w:ascii="Arial" w:hAnsi="Arial"/>
                <w:snapToGrid w:val="0"/>
                <w:w w:val="0"/>
              </w:rPr>
              <w:t>Appendix C</w:t>
            </w:r>
            <w:r>
              <w:rPr>
                <w:rFonts w:asciiTheme="minorHAnsi" w:eastAsiaTheme="minorEastAsia" w:hAnsiTheme="minorHAnsi" w:cstheme="minorBidi"/>
                <w:sz w:val="22"/>
                <w:szCs w:val="22"/>
              </w:rPr>
              <w:tab/>
            </w:r>
            <w:r w:rsidRPr="009900B7">
              <w:rPr>
                <w:rStyle w:val="Hyperlink"/>
              </w:rPr>
              <w:t>Propensity Score Matching to Support SmartRate Ex Ante Estimation</w:t>
            </w:r>
            <w:r>
              <w:rPr>
                <w:webHidden/>
              </w:rPr>
              <w:tab/>
            </w:r>
            <w:r>
              <w:rPr>
                <w:webHidden/>
              </w:rPr>
              <w:fldChar w:fldCharType="begin"/>
            </w:r>
            <w:r>
              <w:rPr>
                <w:webHidden/>
              </w:rPr>
              <w:instrText xml:space="preserve"> PAGEREF _Toc352567332 \h </w:instrText>
            </w:r>
            <w:r>
              <w:rPr>
                <w:webHidden/>
              </w:rPr>
            </w:r>
            <w:r>
              <w:rPr>
                <w:webHidden/>
              </w:rPr>
              <w:fldChar w:fldCharType="separate"/>
            </w:r>
            <w:r>
              <w:rPr>
                <w:webHidden/>
              </w:rPr>
              <w:t>98</w:t>
            </w:r>
            <w:r>
              <w:rPr>
                <w:webHidden/>
              </w:rPr>
              <w:fldChar w:fldCharType="end"/>
            </w:r>
          </w:hyperlink>
        </w:p>
        <w:p w:rsidR="001A71A9" w:rsidRPr="00612923" w:rsidRDefault="00071D48">
          <w:r w:rsidRPr="00612923">
            <w:rPr>
              <w:rFonts w:ascii="Arial" w:hAnsi="Arial" w:cs="Arial"/>
              <w:noProof/>
              <w:sz w:val="24"/>
              <w:szCs w:val="24"/>
            </w:rPr>
            <w:fldChar w:fldCharType="end"/>
          </w:r>
        </w:p>
      </w:sdtContent>
    </w:sdt>
    <w:p w:rsidR="00DB35F9" w:rsidRPr="00612923" w:rsidRDefault="00DB35F9" w:rsidP="00305437">
      <w:pPr>
        <w:pStyle w:val="PreparedForCompany"/>
      </w:pPr>
      <w:bookmarkStart w:id="0" w:name="_Toc268073344"/>
    </w:p>
    <w:p w:rsidR="00DB35F9" w:rsidRPr="00612923" w:rsidRDefault="00DB35F9" w:rsidP="00DB35F9">
      <w:pPr>
        <w:spacing w:before="240"/>
        <w:rPr>
          <w:b/>
          <w:color w:val="433B67"/>
          <w:sz w:val="28"/>
          <w:szCs w:val="28"/>
        </w:rPr>
        <w:sectPr w:rsidR="00DB35F9" w:rsidRPr="00612923" w:rsidSect="00B50663">
          <w:headerReference w:type="default" r:id="rId17"/>
          <w:footerReference w:type="default" r:id="rId18"/>
          <w:headerReference w:type="first" r:id="rId19"/>
          <w:footerReference w:type="first" r:id="rId20"/>
          <w:pgSz w:w="12240" w:h="15840"/>
          <w:pgMar w:top="1440" w:right="1800" w:bottom="1440" w:left="1800" w:header="720" w:footer="720" w:gutter="0"/>
          <w:pgNumType w:fmt="lowerRoman" w:start="1"/>
          <w:cols w:space="720"/>
          <w:docGrid w:linePitch="360"/>
        </w:sectPr>
      </w:pPr>
    </w:p>
    <w:p w:rsidR="00752687" w:rsidRPr="00612923" w:rsidRDefault="00A53378" w:rsidP="00D56C2A">
      <w:pPr>
        <w:pStyle w:val="Heading1"/>
      </w:pPr>
      <w:bookmarkStart w:id="1" w:name="_Toc352567285"/>
      <w:bookmarkEnd w:id="0"/>
      <w:r w:rsidRPr="00612923">
        <w:lastRenderedPageBreak/>
        <w:t>Executive Summary</w:t>
      </w:r>
      <w:bookmarkEnd w:id="1"/>
    </w:p>
    <w:p w:rsidR="00A53378" w:rsidRPr="00612923" w:rsidRDefault="00A53378" w:rsidP="00A53378">
      <w:pPr>
        <w:pStyle w:val="BodyBeforeBullet"/>
      </w:pPr>
      <w:r w:rsidRPr="00612923">
        <w:t>This report contains ex post</w:t>
      </w:r>
      <w:r w:rsidR="004A123C">
        <w:t xml:space="preserve"> and ex ante</w:t>
      </w:r>
      <w:r w:rsidRPr="00612923">
        <w:t xml:space="preserve"> load impact estimates for PG&amp;E’s residential time-based pricing tariffs for</w:t>
      </w:r>
      <w:r w:rsidR="00B77CB0" w:rsidRPr="00612923">
        <w:t> </w:t>
      </w:r>
      <w:r w:rsidRPr="00612923">
        <w:t>201</w:t>
      </w:r>
      <w:r w:rsidR="00F54E90" w:rsidRPr="00612923">
        <w:t>2</w:t>
      </w:r>
      <w:r w:rsidRPr="00612923">
        <w:t xml:space="preserve">.  PG&amp;E has three time-based tariffs in effect, although only two are open to new enrollment:  </w:t>
      </w:r>
    </w:p>
    <w:p w:rsidR="00A53378" w:rsidRPr="00612923" w:rsidRDefault="00312AB8" w:rsidP="00997813">
      <w:pPr>
        <w:pStyle w:val="Bullets"/>
      </w:pPr>
      <w:proofErr w:type="spellStart"/>
      <w:r>
        <w:t>SmartRate</w:t>
      </w:r>
      <w:r>
        <w:rPr>
          <w:vertAlign w:val="superscript"/>
        </w:rPr>
        <w:t>TM</w:t>
      </w:r>
      <w:proofErr w:type="spellEnd"/>
      <w:r>
        <w:rPr>
          <w:vertAlign w:val="superscript"/>
        </w:rPr>
        <w:t xml:space="preserve"> </w:t>
      </w:r>
      <w:r w:rsidR="0068553C">
        <w:rPr>
          <w:rStyle w:val="FootnoteReference"/>
        </w:rPr>
        <w:footnoteReference w:id="1"/>
      </w:r>
      <w:r>
        <w:t xml:space="preserve">is an overlay on other available tariffs </w:t>
      </w:r>
      <w:r>
        <w:rPr>
          <w:u w:val="single"/>
        </w:rPr>
        <w:t xml:space="preserve">including </w:t>
      </w:r>
      <w:r>
        <w:t>CARE</w:t>
      </w:r>
      <w:r w:rsidR="00997813">
        <w:rPr>
          <w:rStyle w:val="FootnoteReference"/>
        </w:rPr>
        <w:footnoteReference w:id="2"/>
      </w:r>
      <w:r>
        <w:t xml:space="preserve"> versions of these tariffs</w:t>
      </w:r>
      <w:r w:rsidR="00997813">
        <w:t>. The program</w:t>
      </w:r>
      <w:r>
        <w:t xml:space="preserve"> has a high price during the peak period on event days, referred to as SmartDays, and slightly lower prices at all other times during the summer.  Prices vary by time of day only on SmartDays;</w:t>
      </w:r>
      <w:r>
        <w:rPr>
          <w:rFonts w:ascii="Times New Roman" w:hAnsi="Times New Roman"/>
          <w:sz w:val="24"/>
          <w:szCs w:val="24"/>
        </w:rPr>
        <w:t xml:space="preserve"> </w:t>
      </w:r>
    </w:p>
    <w:p w:rsidR="00A53378" w:rsidRPr="00612923" w:rsidRDefault="00A53378" w:rsidP="00A53378">
      <w:pPr>
        <w:pStyle w:val="Bullets"/>
      </w:pPr>
      <w:r w:rsidRPr="00612923">
        <w:t xml:space="preserve">Rate E-7 is a two-period, static time-of-use (TOU) rate with a peak period from 12 PM to 6 PM.  This rate is closed to new enrollment; and  </w:t>
      </w:r>
    </w:p>
    <w:p w:rsidR="00A53378" w:rsidRPr="00612923" w:rsidRDefault="00A53378" w:rsidP="00A53378">
      <w:pPr>
        <w:pStyle w:val="BulletLast"/>
      </w:pPr>
      <w:r w:rsidRPr="00612923">
        <w:t>Rate E-6 is a three-period TOU rate with a peak period from 1 PM to 7 PM in the summer and from 5 PM to 8 PM in the winter (when partial peak prices are in effect).</w:t>
      </w:r>
    </w:p>
    <w:p w:rsidR="00A53378" w:rsidRPr="00612923" w:rsidRDefault="00A53378" w:rsidP="00A53378">
      <w:pPr>
        <w:pStyle w:val="Heading2"/>
      </w:pPr>
      <w:bookmarkStart w:id="2" w:name="_Toc289273086"/>
      <w:bookmarkStart w:id="3" w:name="_Toc349193871"/>
      <w:bookmarkStart w:id="4" w:name="_Toc352567286"/>
      <w:r w:rsidRPr="00612923">
        <w:t>SmartRate Ex Post Evaluation Summary</w:t>
      </w:r>
      <w:bookmarkEnd w:id="2"/>
      <w:bookmarkEnd w:id="3"/>
      <w:bookmarkEnd w:id="4"/>
    </w:p>
    <w:p w:rsidR="00A53378" w:rsidRPr="00612923" w:rsidRDefault="00A53378" w:rsidP="00A53378">
      <w:pPr>
        <w:pStyle w:val="BodyParagraph"/>
      </w:pPr>
      <w:r w:rsidRPr="00612923">
        <w:t>SmartRate is PG&amp;E’s residential critical peak pricing.  The program underwent significant expansion in 2012.  Approximately 21,000 customers were enrolled at the end of 2011; approximately 37,000 were enrolled for the first event on July 9, 2012; and approximately 78,000 were enrolled for the last event on October 3, 2012.  This expansion has important implications for interpreting ex post and ex ante results—the main one being that the ex post results for each 2012 event reflects the response of a different population of customers.  This also means that ex ante estimation requires steps that are not</w:t>
      </w:r>
      <w:r w:rsidR="00B77CB0" w:rsidRPr="00612923">
        <w:t> </w:t>
      </w:r>
      <w:r w:rsidRPr="00612923">
        <w:t>required when the program population remains stable over the summer.  Additionally, the dually-enrolled population</w:t>
      </w:r>
      <w:r w:rsidR="00B77CB0" w:rsidRPr="00612923">
        <w:t xml:space="preserve">, </w:t>
      </w:r>
      <w:r w:rsidRPr="00612923">
        <w:t>which consists of customers enrolled on both SmartRate and SmartAC</w:t>
      </w:r>
      <w:r w:rsidR="00B77CB0" w:rsidRPr="00612923">
        <w:t>—</w:t>
      </w:r>
      <w:r w:rsidRPr="00612923">
        <w:t>PG&amp;E’s AC load control program—expanded significantly in 2012 over 2011.  For that reason, all results are reported separately for SmartRate-only and dually-enrolled customers</w:t>
      </w:r>
      <w:r w:rsidR="00B77CB0" w:rsidRPr="00612923">
        <w:t>.</w:t>
      </w:r>
    </w:p>
    <w:p w:rsidR="00A53378" w:rsidRPr="00612923" w:rsidRDefault="00A53378" w:rsidP="00A53378">
      <w:pPr>
        <w:pStyle w:val="BodyParagraph"/>
      </w:pPr>
      <w:r w:rsidRPr="00612923">
        <w:t xml:space="preserve">Table 1-1 shows load impact estimates for the 2012 events for SmartRate-only customers and Table 1-2 shows estimates for dually-enrolled customers.  </w:t>
      </w:r>
      <w:r w:rsidR="00871858">
        <w:t xml:space="preserve">Table 1-2 also has a final column showing the total aggregate impacts over both segments of customers.  </w:t>
      </w:r>
      <w:r w:rsidRPr="00612923">
        <w:t>The average impacts are 0.20 kW and 0.42 kW, respectively.  Aggregate load reduction for the average event was 7.9 MW and 9.2 MW for SmartRate-only customers and dually-enrolled customer</w:t>
      </w:r>
      <w:r w:rsidR="00B77CB0" w:rsidRPr="00612923">
        <w:t>s</w:t>
      </w:r>
      <w:r w:rsidRPr="00612923">
        <w:t xml:space="preserve">, respectively; which gives a total average aggregate impact of 17.1 MW.  </w:t>
      </w:r>
      <w:r w:rsidR="00871858">
        <w:t xml:space="preserve">Aggregate impacts tended to grown through the summer as the program population expanded. </w:t>
      </w:r>
      <w:r w:rsidRPr="00612923">
        <w:t>One important point that the tables show is that these populations each experienced different weather during the events because they are distributed differently across the</w:t>
      </w:r>
      <w:r w:rsidR="00B77CB0" w:rsidRPr="00612923">
        <w:t> </w:t>
      </w:r>
      <w:r w:rsidRPr="00612923">
        <w:t>territory.  Dually-enrolled customers are located in hotter areas, on average.</w:t>
      </w:r>
      <w:r w:rsidR="00871858">
        <w:t xml:space="preserve">  </w:t>
      </w:r>
    </w:p>
    <w:p w:rsidR="00A53378" w:rsidRPr="00612923" w:rsidRDefault="00A53378" w:rsidP="00A53378">
      <w:pPr>
        <w:pStyle w:val="BodyParagraph"/>
      </w:pPr>
      <w:r w:rsidRPr="00612923">
        <w:t xml:space="preserve">Because of the shifting population, the aggregate impact for the average event is less informative than when the population is stable.  One way to consider the performance of the program is to focus on the last three events, when the program population was stable at about 78,000 customers.  For these three events, the average aggregate impact was 10.0 MW and 11.1 MW for SmartRate-only and dually-enrolled customers respectively.  The total average aggregate impact over these three events </w:t>
      </w:r>
      <w:r w:rsidRPr="00612923">
        <w:lastRenderedPageBreak/>
        <w:t>is</w:t>
      </w:r>
      <w:r w:rsidR="00B77CB0" w:rsidRPr="00612923">
        <w:t> </w:t>
      </w:r>
      <w:r w:rsidRPr="00612923">
        <w:t xml:space="preserve">21.1 MW, when the average daily maximum temperature for the population over those events was 94°F.  This also leads to an average per customer impact for the whole program during the last three events of 0.27 kW, which is slightly higher than the program average of 0.24 kW for the 2011 season, when the average high temperature of SmartDays was 93°F.  Overall, this suggests that the program’s per customer average impact has not changed much since 2011.  </w:t>
      </w:r>
    </w:p>
    <w:p w:rsidR="00A53378" w:rsidRPr="00612923" w:rsidRDefault="00A53378" w:rsidP="00A53378">
      <w:pPr>
        <w:pStyle w:val="BodyParagraph"/>
      </w:pPr>
      <w:r w:rsidRPr="00612923">
        <w:t xml:space="preserve">This overall stability masks a shift in the underlying responses of SmartRate-only and dually-enrolled customers, though.  As </w:t>
      </w:r>
      <w:r w:rsidR="00B77CB0" w:rsidRPr="00612923">
        <w:t>described</w:t>
      </w:r>
      <w:r w:rsidRPr="00612923">
        <w:t xml:space="preserve"> later, SmartRate-only customers appeared to provide higher load impacts in 2012 than in 2011, while dually-enrolled customers appeared to provide lower </w:t>
      </w:r>
      <w:r w:rsidR="00210013">
        <w:t xml:space="preserve">average </w:t>
      </w:r>
      <w:r w:rsidRPr="00612923">
        <w:t>impacts</w:t>
      </w:r>
      <w:r w:rsidR="00210013">
        <w:t xml:space="preserve"> compared to 2011</w:t>
      </w:r>
      <w:r w:rsidRPr="00612923">
        <w:t>.</w:t>
      </w:r>
    </w:p>
    <w:p w:rsidR="00A53378" w:rsidRPr="00612923" w:rsidRDefault="00A53378" w:rsidP="00A53378">
      <w:pPr>
        <w:pStyle w:val="BodyBeforeBullet"/>
      </w:pPr>
      <w:r w:rsidRPr="00612923">
        <w:t>In addition to ex post load impacts, this report contains several other analyses on the characteristics associated with high and low load impacts and the bill impacts for SmartRate customers.  These findings virtually all confirm previous findings for the SmartRate program.  They include:</w:t>
      </w:r>
    </w:p>
    <w:p w:rsidR="00A53378" w:rsidRPr="00612923" w:rsidRDefault="00A53378" w:rsidP="00A53378">
      <w:pPr>
        <w:pStyle w:val="Bullets"/>
      </w:pPr>
      <w:r w:rsidRPr="00612923">
        <w:t>Load impacts vary significantly across Local Capacity Areas (LCAs),</w:t>
      </w:r>
      <w:r w:rsidRPr="00612923">
        <w:rPr>
          <w:rStyle w:val="FootnoteReference"/>
        </w:rPr>
        <w:footnoteReference w:id="3"/>
      </w:r>
      <w:r w:rsidRPr="00612923">
        <w:t xml:space="preserve"> with the Greater Bay Area providing the lowest impacts for both populations of customers, the Sierra LCA providing the highest impacts for SmartRate-only customers and Kern providing the largest impacts for dually-enrolled customers;</w:t>
      </w:r>
    </w:p>
    <w:p w:rsidR="00A53378" w:rsidRPr="00612923" w:rsidRDefault="00A53378" w:rsidP="00A53378">
      <w:pPr>
        <w:pStyle w:val="Bullets"/>
      </w:pPr>
      <w:r w:rsidRPr="00612923">
        <w:t>The average load reduction for SmartRate-only CARE customers in 2012 was about half as large as for non-CARE customers.  Dually-enrolled CARE customers provided about 64% of the</w:t>
      </w:r>
      <w:r w:rsidR="00B77CB0" w:rsidRPr="00612923">
        <w:t> </w:t>
      </w:r>
      <w:r w:rsidRPr="00612923">
        <w:t xml:space="preserve">per customer load impacts of non-CARE dually-enrolled customers;  </w:t>
      </w:r>
    </w:p>
    <w:p w:rsidR="00A53378" w:rsidRPr="00612923" w:rsidRDefault="00A53378" w:rsidP="00A53378">
      <w:pPr>
        <w:pStyle w:val="Bullets"/>
      </w:pPr>
      <w:r w:rsidRPr="00612923">
        <w:t xml:space="preserve">Event notification is highly correlated with load reductions, even among customers notified more than once;  </w:t>
      </w:r>
    </w:p>
    <w:p w:rsidR="00A53378" w:rsidRPr="00612923" w:rsidRDefault="00A53378" w:rsidP="00A53378">
      <w:pPr>
        <w:pStyle w:val="Bullets"/>
      </w:pPr>
      <w:r w:rsidRPr="00612923">
        <w:t>Air conditioning ownership is a strong driver of demand response;</w:t>
      </w:r>
    </w:p>
    <w:p w:rsidR="00A53378" w:rsidRPr="00612923" w:rsidRDefault="00A53378" w:rsidP="00A53378">
      <w:pPr>
        <w:pStyle w:val="Bullets"/>
      </w:pPr>
      <w:r w:rsidRPr="00612923">
        <w:t xml:space="preserve">Customers enrolled in both SmartRate and SmartAC provide significantly greater demand response than those who are on SmartRate alone;  </w:t>
      </w:r>
    </w:p>
    <w:p w:rsidR="00A53378" w:rsidRPr="00612923" w:rsidRDefault="00A53378" w:rsidP="00A53378">
      <w:pPr>
        <w:pStyle w:val="Bullets"/>
      </w:pPr>
      <w:r w:rsidRPr="00612923">
        <w:t>The vast majority of customers who sign up for SmartRate stay on the program.  Attrition due to de-enrollment is quite low</w:t>
      </w:r>
      <w:r w:rsidR="006F3904">
        <w:t xml:space="preserve"> (less than 1%)</w:t>
      </w:r>
      <w:r w:rsidRPr="00612923">
        <w:t>;  and</w:t>
      </w:r>
    </w:p>
    <w:p w:rsidR="00A53378" w:rsidRPr="00612923" w:rsidRDefault="00A53378" w:rsidP="00A53378">
      <w:pPr>
        <w:pStyle w:val="BulletLast"/>
      </w:pPr>
      <w:r w:rsidRPr="00612923">
        <w:t>Between June and September 201</w:t>
      </w:r>
      <w:r w:rsidR="0085403D" w:rsidRPr="00612923">
        <w:t>2</w:t>
      </w:r>
      <w:r w:rsidRPr="00612923">
        <w:t xml:space="preserve">, </w:t>
      </w:r>
      <w:r w:rsidR="0085403D" w:rsidRPr="00612923">
        <w:t>94</w:t>
      </w:r>
      <w:r w:rsidRPr="00612923">
        <w:t>% of SmartRate customers saved money compared with their otherwise applicable tariff (OAT).</w:t>
      </w:r>
      <w:r w:rsidR="0085403D" w:rsidRPr="00612923">
        <w:t xml:space="preserve">  This is much higher than in 2011, primarily because only 10 events were called in 2012.</w:t>
      </w:r>
    </w:p>
    <w:p w:rsidR="00A53378" w:rsidRPr="00612923" w:rsidRDefault="00A53378" w:rsidP="00A53378">
      <w:pPr>
        <w:pStyle w:val="TableFigureCaption"/>
      </w:pPr>
      <w:r w:rsidRPr="00612923">
        <w:lastRenderedPageBreak/>
        <w:t>Table 1-1: SmartRate Ex Post Load Impact Estimates for SmartRate-</w:t>
      </w:r>
      <w:r w:rsidR="00DE471D" w:rsidRPr="00612923">
        <w:t>o</w:t>
      </w:r>
      <w:r w:rsidRPr="00612923">
        <w:t>nly Customers</w:t>
      </w:r>
    </w:p>
    <w:tbl>
      <w:tblPr>
        <w:tblW w:w="8580" w:type="dxa"/>
        <w:tblInd w:w="93" w:type="dxa"/>
        <w:tblLook w:val="04A0"/>
      </w:tblPr>
      <w:tblGrid>
        <w:gridCol w:w="2120"/>
        <w:gridCol w:w="960"/>
        <w:gridCol w:w="1184"/>
        <w:gridCol w:w="1194"/>
        <w:gridCol w:w="1194"/>
        <w:gridCol w:w="1206"/>
        <w:gridCol w:w="1139"/>
      </w:tblGrid>
      <w:tr w:rsidR="00A53378" w:rsidRPr="00612923" w:rsidTr="00A53378">
        <w:trPr>
          <w:trHeight w:val="1020"/>
        </w:trPr>
        <w:tc>
          <w:tcPr>
            <w:tcW w:w="2120" w:type="dxa"/>
            <w:tcBorders>
              <w:top w:val="single" w:sz="8" w:space="0" w:color="auto"/>
              <w:left w:val="single" w:sz="8" w:space="0" w:color="auto"/>
              <w:bottom w:val="nil"/>
              <w:right w:val="single" w:sz="8" w:space="0" w:color="FFFFFF"/>
            </w:tcBorders>
            <w:shd w:val="clear" w:color="000000" w:fill="1F497D"/>
            <w:vAlign w:val="center"/>
            <w:hideMark/>
          </w:tcPr>
          <w:p w:rsidR="00A53378" w:rsidRPr="00612923" w:rsidRDefault="00A53378" w:rsidP="00254844">
            <w:pPr>
              <w:pStyle w:val="TableHeader"/>
              <w:keepNext/>
              <w:rPr>
                <w:b w:val="0"/>
              </w:rPr>
            </w:pPr>
            <w:bookmarkStart w:id="5" w:name="_Toc289273089"/>
            <w:r w:rsidRPr="00612923">
              <w:t>Date</w:t>
            </w:r>
          </w:p>
        </w:tc>
        <w:tc>
          <w:tcPr>
            <w:tcW w:w="960" w:type="dxa"/>
            <w:tcBorders>
              <w:top w:val="single" w:sz="8" w:space="0" w:color="auto"/>
              <w:left w:val="nil"/>
              <w:bottom w:val="nil"/>
              <w:right w:val="single" w:sz="8" w:space="0" w:color="FFFFFF"/>
            </w:tcBorders>
            <w:shd w:val="clear" w:color="000000" w:fill="1F497D"/>
            <w:vAlign w:val="center"/>
            <w:hideMark/>
          </w:tcPr>
          <w:p w:rsidR="00A53378" w:rsidRPr="00612923" w:rsidRDefault="00A53378" w:rsidP="00254844">
            <w:pPr>
              <w:pStyle w:val="TableHeader"/>
              <w:keepNext/>
              <w:rPr>
                <w:b w:val="0"/>
              </w:rPr>
            </w:pPr>
            <w:r w:rsidRPr="00612923">
              <w:t>Day of Week</w:t>
            </w:r>
          </w:p>
        </w:tc>
        <w:tc>
          <w:tcPr>
            <w:tcW w:w="1120" w:type="dxa"/>
            <w:tcBorders>
              <w:top w:val="single" w:sz="8" w:space="0" w:color="auto"/>
              <w:left w:val="nil"/>
              <w:bottom w:val="nil"/>
              <w:right w:val="single" w:sz="8" w:space="0" w:color="FFFFFF"/>
            </w:tcBorders>
            <w:shd w:val="clear" w:color="000000" w:fill="1F497D"/>
            <w:vAlign w:val="center"/>
            <w:hideMark/>
          </w:tcPr>
          <w:p w:rsidR="00A53378" w:rsidRPr="00612923" w:rsidRDefault="00A53378" w:rsidP="00254844">
            <w:pPr>
              <w:pStyle w:val="TableHeader"/>
              <w:keepNext/>
              <w:rPr>
                <w:b w:val="0"/>
              </w:rPr>
            </w:pPr>
            <w:r w:rsidRPr="00612923">
              <w:t>Avg. Reference Load (kW)</w:t>
            </w:r>
          </w:p>
        </w:tc>
        <w:tc>
          <w:tcPr>
            <w:tcW w:w="1140" w:type="dxa"/>
            <w:tcBorders>
              <w:top w:val="single" w:sz="8" w:space="0" w:color="auto"/>
              <w:left w:val="nil"/>
              <w:bottom w:val="nil"/>
              <w:right w:val="single" w:sz="8" w:space="0" w:color="FFFFFF"/>
            </w:tcBorders>
            <w:shd w:val="clear" w:color="000000" w:fill="1F497D"/>
            <w:vAlign w:val="center"/>
            <w:hideMark/>
          </w:tcPr>
          <w:p w:rsidR="00A53378" w:rsidRPr="00612923" w:rsidRDefault="00A53378" w:rsidP="00254844">
            <w:pPr>
              <w:pStyle w:val="TableHeader"/>
              <w:keepNext/>
              <w:rPr>
                <w:b w:val="0"/>
              </w:rPr>
            </w:pPr>
            <w:r w:rsidRPr="00612923">
              <w:t>Avg. Load Reduction (kW)</w:t>
            </w:r>
          </w:p>
        </w:tc>
        <w:tc>
          <w:tcPr>
            <w:tcW w:w="1060" w:type="dxa"/>
            <w:tcBorders>
              <w:top w:val="single" w:sz="8" w:space="0" w:color="auto"/>
              <w:left w:val="nil"/>
              <w:bottom w:val="nil"/>
              <w:right w:val="single" w:sz="8" w:space="0" w:color="FFFFFF"/>
            </w:tcBorders>
            <w:shd w:val="clear" w:color="000000" w:fill="1F497D"/>
            <w:vAlign w:val="center"/>
            <w:hideMark/>
          </w:tcPr>
          <w:p w:rsidR="00A53378" w:rsidRPr="00612923" w:rsidRDefault="00A53378" w:rsidP="00254844">
            <w:pPr>
              <w:pStyle w:val="TableHeader"/>
              <w:keepNext/>
              <w:rPr>
                <w:b w:val="0"/>
              </w:rPr>
            </w:pPr>
            <w:r w:rsidRPr="00612923">
              <w:t>Percent Load Reduction (%)</w:t>
            </w:r>
          </w:p>
        </w:tc>
        <w:tc>
          <w:tcPr>
            <w:tcW w:w="1060" w:type="dxa"/>
            <w:tcBorders>
              <w:top w:val="single" w:sz="8" w:space="0" w:color="auto"/>
              <w:left w:val="nil"/>
              <w:bottom w:val="nil"/>
              <w:right w:val="single" w:sz="8" w:space="0" w:color="FFFFFF"/>
            </w:tcBorders>
            <w:shd w:val="clear" w:color="000000" w:fill="1F497D"/>
            <w:vAlign w:val="center"/>
            <w:hideMark/>
          </w:tcPr>
          <w:p w:rsidR="00A53378" w:rsidRPr="00612923" w:rsidRDefault="00A53378" w:rsidP="00254844">
            <w:pPr>
              <w:pStyle w:val="TableHeader"/>
              <w:keepNext/>
              <w:rPr>
                <w:b w:val="0"/>
              </w:rPr>
            </w:pPr>
            <w:r w:rsidRPr="00612923">
              <w:t>Aggregate Load Reduction (MW)</w:t>
            </w:r>
          </w:p>
        </w:tc>
        <w:tc>
          <w:tcPr>
            <w:tcW w:w="1120" w:type="dxa"/>
            <w:tcBorders>
              <w:top w:val="single" w:sz="8" w:space="0" w:color="auto"/>
              <w:left w:val="nil"/>
              <w:bottom w:val="nil"/>
              <w:right w:val="single" w:sz="8" w:space="0" w:color="auto"/>
            </w:tcBorders>
            <w:shd w:val="clear" w:color="000000" w:fill="1F497D"/>
            <w:vAlign w:val="center"/>
            <w:hideMark/>
          </w:tcPr>
          <w:p w:rsidR="00A53378" w:rsidRPr="00612923" w:rsidRDefault="00A53378" w:rsidP="00254844">
            <w:pPr>
              <w:pStyle w:val="TableHeader"/>
              <w:keepNext/>
              <w:rPr>
                <w:b w:val="0"/>
              </w:rPr>
            </w:pPr>
            <w:r w:rsidRPr="00612923">
              <w:t>Daily Maximum Temp (°F)</w:t>
            </w:r>
          </w:p>
        </w:tc>
      </w:tr>
      <w:tr w:rsidR="00A53378" w:rsidRPr="00612923" w:rsidTr="00A53378">
        <w:trPr>
          <w:trHeight w:val="300"/>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254844">
            <w:pPr>
              <w:pStyle w:val="TableText"/>
              <w:keepNext/>
            </w:pPr>
            <w:r w:rsidRPr="00612923">
              <w:t>9-Jul-12</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M</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1.58</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0.26</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16</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5.9</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88</w:t>
            </w:r>
          </w:p>
        </w:tc>
      </w:tr>
      <w:tr w:rsidR="00A53378" w:rsidRPr="00612923" w:rsidTr="00A53378">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254844">
            <w:pPr>
              <w:pStyle w:val="TableText"/>
              <w:keepNext/>
            </w:pPr>
            <w:r w:rsidRPr="00612923">
              <w:t>10-Jul-12</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T</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1.71</w:t>
            </w:r>
          </w:p>
        </w:tc>
        <w:tc>
          <w:tcPr>
            <w:tcW w:w="114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0.27</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16</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6.3</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94</w:t>
            </w:r>
          </w:p>
        </w:tc>
      </w:tr>
      <w:tr w:rsidR="00A53378" w:rsidRPr="00612923" w:rsidTr="00A53378">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254844">
            <w:pPr>
              <w:pStyle w:val="TableText"/>
              <w:keepNext/>
            </w:pPr>
            <w:r w:rsidRPr="00612923">
              <w:t>11-Jul-12</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W</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1.87</w:t>
            </w:r>
          </w:p>
        </w:tc>
        <w:tc>
          <w:tcPr>
            <w:tcW w:w="114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0.32</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17</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7.8</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96</w:t>
            </w:r>
          </w:p>
        </w:tc>
      </w:tr>
      <w:tr w:rsidR="00A53378" w:rsidRPr="00612923" w:rsidTr="00A53378">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254844">
            <w:pPr>
              <w:pStyle w:val="TableText"/>
              <w:keepNext/>
            </w:pPr>
            <w:r w:rsidRPr="00612923">
              <w:t>23-Jul-12</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M</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1.58</w:t>
            </w:r>
          </w:p>
        </w:tc>
        <w:tc>
          <w:tcPr>
            <w:tcW w:w="114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0.25</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16</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7.5</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88</w:t>
            </w:r>
          </w:p>
        </w:tc>
      </w:tr>
      <w:tr w:rsidR="00A53378" w:rsidRPr="00612923" w:rsidTr="00A53378">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254844">
            <w:pPr>
              <w:pStyle w:val="TableText"/>
              <w:keepNext/>
            </w:pPr>
            <w:r w:rsidRPr="00612923">
              <w:t>4-Sep-12</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T</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1.32</w:t>
            </w:r>
          </w:p>
        </w:tc>
        <w:tc>
          <w:tcPr>
            <w:tcW w:w="114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0.18</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13</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7.3</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86</w:t>
            </w:r>
          </w:p>
        </w:tc>
      </w:tr>
      <w:tr w:rsidR="00A53378" w:rsidRPr="00612923" w:rsidTr="00A53378">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254844">
            <w:pPr>
              <w:pStyle w:val="TableText"/>
              <w:keepNext/>
            </w:pPr>
            <w:r w:rsidRPr="00612923">
              <w:t>13-Sep-12</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proofErr w:type="spellStart"/>
            <w:r w:rsidRPr="00612923">
              <w:t>Th</w:t>
            </w:r>
            <w:proofErr w:type="spellEnd"/>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1.34</w:t>
            </w:r>
          </w:p>
        </w:tc>
        <w:tc>
          <w:tcPr>
            <w:tcW w:w="114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0.16</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12</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7.4</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87</w:t>
            </w:r>
          </w:p>
        </w:tc>
      </w:tr>
      <w:tr w:rsidR="00A53378" w:rsidRPr="00612923" w:rsidTr="00A53378">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254844">
            <w:pPr>
              <w:pStyle w:val="TableText"/>
              <w:keepNext/>
            </w:pPr>
            <w:r w:rsidRPr="00612923">
              <w:t>14-Sep-12</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F</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1.36</w:t>
            </w:r>
          </w:p>
        </w:tc>
        <w:tc>
          <w:tcPr>
            <w:tcW w:w="114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0.15</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11</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6.8</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86</w:t>
            </w:r>
          </w:p>
        </w:tc>
      </w:tr>
      <w:tr w:rsidR="00A53378" w:rsidRPr="00612923" w:rsidTr="00A53378">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254844">
            <w:pPr>
              <w:pStyle w:val="TableText"/>
              <w:keepNext/>
            </w:pPr>
            <w:r w:rsidRPr="00612923">
              <w:t>1-Oct-12</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M</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1.36</w:t>
            </w:r>
          </w:p>
        </w:tc>
        <w:tc>
          <w:tcPr>
            <w:tcW w:w="114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0.22</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16</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11.2</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95</w:t>
            </w:r>
          </w:p>
        </w:tc>
      </w:tr>
      <w:tr w:rsidR="00A53378" w:rsidRPr="00612923" w:rsidTr="00A53378">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254844">
            <w:pPr>
              <w:pStyle w:val="TableText"/>
              <w:keepNext/>
            </w:pPr>
            <w:r w:rsidRPr="00612923">
              <w:t>2-Oct-12</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T</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1.40</w:t>
            </w:r>
          </w:p>
        </w:tc>
        <w:tc>
          <w:tcPr>
            <w:tcW w:w="114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0.21</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15</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10.5</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96</w:t>
            </w:r>
          </w:p>
        </w:tc>
      </w:tr>
      <w:tr w:rsidR="00A53378" w:rsidRPr="00612923" w:rsidTr="00A53378">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254844">
            <w:pPr>
              <w:pStyle w:val="TableText"/>
              <w:keepNext/>
            </w:pPr>
            <w:r w:rsidRPr="00612923">
              <w:t>3-Oct-12</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W</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1.30</w:t>
            </w:r>
          </w:p>
        </w:tc>
        <w:tc>
          <w:tcPr>
            <w:tcW w:w="114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0.16</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12</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8.3</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89</w:t>
            </w:r>
          </w:p>
        </w:tc>
      </w:tr>
      <w:tr w:rsidR="00A53378" w:rsidRPr="00612923" w:rsidTr="00A53378">
        <w:trPr>
          <w:trHeight w:val="300"/>
        </w:trPr>
        <w:tc>
          <w:tcPr>
            <w:tcW w:w="2120" w:type="dxa"/>
            <w:tcBorders>
              <w:top w:val="nil"/>
              <w:left w:val="single" w:sz="4" w:space="0" w:color="auto"/>
              <w:bottom w:val="single" w:sz="4" w:space="0" w:color="auto"/>
              <w:right w:val="single" w:sz="4" w:space="0" w:color="auto"/>
            </w:tcBorders>
            <w:shd w:val="clear" w:color="auto" w:fill="auto"/>
            <w:noWrap/>
            <w:vAlign w:val="bottom"/>
            <w:hideMark/>
          </w:tcPr>
          <w:p w:rsidR="00A53378" w:rsidRPr="00612923" w:rsidRDefault="00A53378" w:rsidP="00A53378">
            <w:pPr>
              <w:pStyle w:val="TableText"/>
            </w:pPr>
            <w:r w:rsidRPr="00612923">
              <w:t>Average Event Day</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N/A</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1.44</w:t>
            </w:r>
          </w:p>
        </w:tc>
        <w:tc>
          <w:tcPr>
            <w:tcW w:w="114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0.20</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14</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7.9</w:t>
            </w:r>
          </w:p>
        </w:tc>
        <w:tc>
          <w:tcPr>
            <w:tcW w:w="112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90</w:t>
            </w:r>
          </w:p>
        </w:tc>
      </w:tr>
    </w:tbl>
    <w:p w:rsidR="00871858" w:rsidRDefault="00871858" w:rsidP="00A53378">
      <w:pPr>
        <w:pStyle w:val="TableFigureCaption"/>
      </w:pPr>
    </w:p>
    <w:p w:rsidR="00A53378" w:rsidRPr="00612923" w:rsidRDefault="00A53378" w:rsidP="00A53378">
      <w:pPr>
        <w:pStyle w:val="TableFigureCaption"/>
      </w:pPr>
      <w:r w:rsidRPr="00612923">
        <w:t>Table 1-2: SmartRate Ex Post Load Impact Estimates for Dually</w:t>
      </w:r>
      <w:r w:rsidR="00DE471D" w:rsidRPr="00612923">
        <w:t>-e</w:t>
      </w:r>
      <w:r w:rsidRPr="00612923">
        <w:t>nrolled Customers</w:t>
      </w:r>
      <w:r w:rsidR="00871858">
        <w:t xml:space="preserve"> and Aggregate Impacts for All Customers</w:t>
      </w:r>
    </w:p>
    <w:tbl>
      <w:tblPr>
        <w:tblW w:w="9471" w:type="dxa"/>
        <w:tblInd w:w="93" w:type="dxa"/>
        <w:tblLayout w:type="fixed"/>
        <w:tblLook w:val="04A0"/>
      </w:tblPr>
      <w:tblGrid>
        <w:gridCol w:w="1455"/>
        <w:gridCol w:w="810"/>
        <w:gridCol w:w="1184"/>
        <w:gridCol w:w="1194"/>
        <w:gridCol w:w="1222"/>
        <w:gridCol w:w="1206"/>
        <w:gridCol w:w="1139"/>
        <w:gridCol w:w="1261"/>
      </w:tblGrid>
      <w:tr w:rsidR="00871858" w:rsidRPr="00612923" w:rsidTr="006136B4">
        <w:trPr>
          <w:trHeight w:val="1020"/>
        </w:trPr>
        <w:tc>
          <w:tcPr>
            <w:tcW w:w="1455" w:type="dxa"/>
            <w:tcBorders>
              <w:top w:val="single" w:sz="8" w:space="0" w:color="auto"/>
              <w:left w:val="single" w:sz="8" w:space="0" w:color="auto"/>
              <w:bottom w:val="nil"/>
              <w:right w:val="single" w:sz="8" w:space="0" w:color="FFFFFF"/>
            </w:tcBorders>
            <w:shd w:val="clear" w:color="000000" w:fill="1F497D"/>
            <w:vAlign w:val="center"/>
            <w:hideMark/>
          </w:tcPr>
          <w:p w:rsidR="00871858" w:rsidRPr="00612923" w:rsidRDefault="00871858" w:rsidP="00254844">
            <w:pPr>
              <w:pStyle w:val="TableHeader"/>
              <w:keepNext/>
            </w:pPr>
            <w:r w:rsidRPr="00612923">
              <w:t>Date</w:t>
            </w:r>
          </w:p>
        </w:tc>
        <w:tc>
          <w:tcPr>
            <w:tcW w:w="810" w:type="dxa"/>
            <w:tcBorders>
              <w:top w:val="single" w:sz="8" w:space="0" w:color="auto"/>
              <w:left w:val="nil"/>
              <w:bottom w:val="nil"/>
              <w:right w:val="single" w:sz="8" w:space="0" w:color="FFFFFF"/>
            </w:tcBorders>
            <w:shd w:val="clear" w:color="000000" w:fill="1F497D"/>
            <w:vAlign w:val="center"/>
            <w:hideMark/>
          </w:tcPr>
          <w:p w:rsidR="00871858" w:rsidRPr="00612923" w:rsidRDefault="00871858" w:rsidP="00254844">
            <w:pPr>
              <w:pStyle w:val="TableHeader"/>
              <w:keepNext/>
            </w:pPr>
            <w:r w:rsidRPr="00612923">
              <w:t>Day of Week</w:t>
            </w:r>
          </w:p>
        </w:tc>
        <w:tc>
          <w:tcPr>
            <w:tcW w:w="1184" w:type="dxa"/>
            <w:tcBorders>
              <w:top w:val="single" w:sz="8" w:space="0" w:color="auto"/>
              <w:left w:val="nil"/>
              <w:bottom w:val="nil"/>
              <w:right w:val="single" w:sz="8" w:space="0" w:color="FFFFFF"/>
            </w:tcBorders>
            <w:shd w:val="clear" w:color="000000" w:fill="1F497D"/>
            <w:vAlign w:val="center"/>
            <w:hideMark/>
          </w:tcPr>
          <w:p w:rsidR="00871858" w:rsidRPr="00612923" w:rsidRDefault="00871858" w:rsidP="00254844">
            <w:pPr>
              <w:pStyle w:val="TableHeader"/>
              <w:keepNext/>
            </w:pPr>
            <w:r w:rsidRPr="00612923">
              <w:t>Avg. Reference Load (kW)</w:t>
            </w:r>
          </w:p>
        </w:tc>
        <w:tc>
          <w:tcPr>
            <w:tcW w:w="1194" w:type="dxa"/>
            <w:tcBorders>
              <w:top w:val="single" w:sz="8" w:space="0" w:color="auto"/>
              <w:left w:val="nil"/>
              <w:bottom w:val="nil"/>
              <w:right w:val="single" w:sz="8" w:space="0" w:color="FFFFFF"/>
            </w:tcBorders>
            <w:shd w:val="clear" w:color="000000" w:fill="1F497D"/>
            <w:vAlign w:val="center"/>
            <w:hideMark/>
          </w:tcPr>
          <w:p w:rsidR="00871858" w:rsidRPr="00612923" w:rsidRDefault="00871858" w:rsidP="00254844">
            <w:pPr>
              <w:pStyle w:val="TableHeader"/>
              <w:keepNext/>
            </w:pPr>
            <w:r w:rsidRPr="00612923">
              <w:t>Avg. Load Reduction (kW)</w:t>
            </w:r>
          </w:p>
        </w:tc>
        <w:tc>
          <w:tcPr>
            <w:tcW w:w="1222" w:type="dxa"/>
            <w:tcBorders>
              <w:top w:val="single" w:sz="8" w:space="0" w:color="auto"/>
              <w:left w:val="nil"/>
              <w:bottom w:val="nil"/>
              <w:right w:val="single" w:sz="8" w:space="0" w:color="FFFFFF"/>
            </w:tcBorders>
            <w:shd w:val="clear" w:color="000000" w:fill="1F497D"/>
            <w:vAlign w:val="center"/>
            <w:hideMark/>
          </w:tcPr>
          <w:p w:rsidR="00871858" w:rsidRPr="00612923" w:rsidRDefault="00871858" w:rsidP="00254844">
            <w:pPr>
              <w:pStyle w:val="TableHeader"/>
              <w:keepNext/>
            </w:pPr>
            <w:r w:rsidRPr="00612923">
              <w:t>Percent Load Reduction (%)</w:t>
            </w:r>
          </w:p>
        </w:tc>
        <w:tc>
          <w:tcPr>
            <w:tcW w:w="1206" w:type="dxa"/>
            <w:tcBorders>
              <w:top w:val="single" w:sz="8" w:space="0" w:color="auto"/>
              <w:left w:val="nil"/>
              <w:bottom w:val="nil"/>
              <w:right w:val="single" w:sz="8" w:space="0" w:color="FFFFFF"/>
            </w:tcBorders>
            <w:shd w:val="clear" w:color="000000" w:fill="1F497D"/>
            <w:vAlign w:val="center"/>
            <w:hideMark/>
          </w:tcPr>
          <w:p w:rsidR="00871858" w:rsidRPr="00612923" w:rsidRDefault="00871858" w:rsidP="00254844">
            <w:pPr>
              <w:pStyle w:val="TableHeader"/>
              <w:keepNext/>
            </w:pPr>
            <w:r w:rsidRPr="00612923">
              <w:t>Aggregate Load Reduction (MW)</w:t>
            </w:r>
          </w:p>
        </w:tc>
        <w:tc>
          <w:tcPr>
            <w:tcW w:w="1139" w:type="dxa"/>
            <w:tcBorders>
              <w:top w:val="single" w:sz="8" w:space="0" w:color="auto"/>
              <w:left w:val="nil"/>
              <w:bottom w:val="nil"/>
              <w:right w:val="single" w:sz="8" w:space="0" w:color="auto"/>
            </w:tcBorders>
            <w:shd w:val="clear" w:color="000000" w:fill="1F497D"/>
            <w:vAlign w:val="center"/>
            <w:hideMark/>
          </w:tcPr>
          <w:p w:rsidR="00871858" w:rsidRPr="00612923" w:rsidRDefault="00871858" w:rsidP="00254844">
            <w:pPr>
              <w:pStyle w:val="TableHeader"/>
              <w:keepNext/>
            </w:pPr>
            <w:r w:rsidRPr="00612923">
              <w:t>Daily Maximum Temp (°F)</w:t>
            </w:r>
          </w:p>
        </w:tc>
        <w:tc>
          <w:tcPr>
            <w:tcW w:w="1261" w:type="dxa"/>
            <w:tcBorders>
              <w:top w:val="single" w:sz="8" w:space="0" w:color="auto"/>
              <w:left w:val="nil"/>
              <w:bottom w:val="nil"/>
              <w:right w:val="single" w:sz="8" w:space="0" w:color="auto"/>
            </w:tcBorders>
            <w:shd w:val="clear" w:color="000000" w:fill="1F497D"/>
          </w:tcPr>
          <w:p w:rsidR="00871858" w:rsidRPr="00612923" w:rsidRDefault="00871858" w:rsidP="00871858">
            <w:pPr>
              <w:pStyle w:val="TableHeader"/>
              <w:keepNext/>
            </w:pPr>
            <w:r>
              <w:t>Aggregate Load Reduction All Customers (MW)</w:t>
            </w:r>
          </w:p>
        </w:tc>
      </w:tr>
      <w:tr w:rsidR="00871858" w:rsidRPr="00612923" w:rsidTr="006136B4">
        <w:trPr>
          <w:trHeight w:val="300"/>
        </w:trPr>
        <w:tc>
          <w:tcPr>
            <w:tcW w:w="14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254844">
            <w:pPr>
              <w:pStyle w:val="TableText"/>
              <w:keepNext/>
            </w:pPr>
            <w:r w:rsidRPr="00612923">
              <w:t>9-Jul-12</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T</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1.65</w:t>
            </w:r>
          </w:p>
        </w:tc>
        <w:tc>
          <w:tcPr>
            <w:tcW w:w="1194" w:type="dxa"/>
            <w:tcBorders>
              <w:top w:val="single" w:sz="4" w:space="0" w:color="auto"/>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0.48</w:t>
            </w:r>
          </w:p>
        </w:tc>
        <w:tc>
          <w:tcPr>
            <w:tcW w:w="1222" w:type="dxa"/>
            <w:tcBorders>
              <w:top w:val="single" w:sz="4" w:space="0" w:color="auto"/>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29</w:t>
            </w:r>
          </w:p>
        </w:tc>
        <w:tc>
          <w:tcPr>
            <w:tcW w:w="1206" w:type="dxa"/>
            <w:tcBorders>
              <w:top w:val="single" w:sz="4" w:space="0" w:color="auto"/>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6.6</w:t>
            </w:r>
          </w:p>
        </w:tc>
        <w:tc>
          <w:tcPr>
            <w:tcW w:w="1139" w:type="dxa"/>
            <w:tcBorders>
              <w:top w:val="single" w:sz="4" w:space="0" w:color="auto"/>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89</w:t>
            </w:r>
          </w:p>
        </w:tc>
        <w:tc>
          <w:tcPr>
            <w:tcW w:w="1261" w:type="dxa"/>
            <w:tcBorders>
              <w:top w:val="single" w:sz="4" w:space="0" w:color="auto"/>
              <w:left w:val="nil"/>
              <w:bottom w:val="single" w:sz="4" w:space="0" w:color="auto"/>
              <w:right w:val="single" w:sz="4" w:space="0" w:color="auto"/>
            </w:tcBorders>
          </w:tcPr>
          <w:p w:rsidR="00871858" w:rsidRPr="00612923" w:rsidRDefault="00871858" w:rsidP="00254844">
            <w:pPr>
              <w:pStyle w:val="TableText"/>
              <w:keepNext/>
            </w:pPr>
            <w:r>
              <w:t>12.5</w:t>
            </w:r>
          </w:p>
        </w:tc>
      </w:tr>
      <w:tr w:rsidR="00871858" w:rsidRPr="00612923" w:rsidTr="006136B4">
        <w:trPr>
          <w:trHeight w:val="300"/>
        </w:trPr>
        <w:tc>
          <w:tcPr>
            <w:tcW w:w="1455" w:type="dxa"/>
            <w:tcBorders>
              <w:top w:val="nil"/>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254844">
            <w:pPr>
              <w:pStyle w:val="TableText"/>
              <w:keepNext/>
            </w:pPr>
            <w:r w:rsidRPr="00612923">
              <w:t>10-Jul-12</w:t>
            </w:r>
          </w:p>
        </w:tc>
        <w:tc>
          <w:tcPr>
            <w:tcW w:w="810"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proofErr w:type="spellStart"/>
            <w:r w:rsidRPr="00612923">
              <w:t>Th</w:t>
            </w:r>
            <w:proofErr w:type="spellEnd"/>
          </w:p>
        </w:tc>
        <w:tc>
          <w:tcPr>
            <w:tcW w:w="118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1.90</w:t>
            </w:r>
          </w:p>
        </w:tc>
        <w:tc>
          <w:tcPr>
            <w:tcW w:w="119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0.49</w:t>
            </w:r>
          </w:p>
        </w:tc>
        <w:tc>
          <w:tcPr>
            <w:tcW w:w="1222"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26</w:t>
            </w:r>
          </w:p>
        </w:tc>
        <w:tc>
          <w:tcPr>
            <w:tcW w:w="1206"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7.1</w:t>
            </w:r>
          </w:p>
        </w:tc>
        <w:tc>
          <w:tcPr>
            <w:tcW w:w="1139"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96</w:t>
            </w:r>
          </w:p>
        </w:tc>
        <w:tc>
          <w:tcPr>
            <w:tcW w:w="1261" w:type="dxa"/>
            <w:tcBorders>
              <w:top w:val="nil"/>
              <w:left w:val="nil"/>
              <w:bottom w:val="single" w:sz="4" w:space="0" w:color="auto"/>
              <w:right w:val="single" w:sz="4" w:space="0" w:color="auto"/>
            </w:tcBorders>
          </w:tcPr>
          <w:p w:rsidR="00871858" w:rsidRPr="00612923" w:rsidRDefault="00871858" w:rsidP="00254844">
            <w:pPr>
              <w:pStyle w:val="TableText"/>
              <w:keepNext/>
            </w:pPr>
            <w:r>
              <w:t>13.4</w:t>
            </w:r>
          </w:p>
        </w:tc>
      </w:tr>
      <w:tr w:rsidR="00871858" w:rsidRPr="00612923" w:rsidTr="006136B4">
        <w:trPr>
          <w:trHeight w:val="300"/>
        </w:trPr>
        <w:tc>
          <w:tcPr>
            <w:tcW w:w="1455" w:type="dxa"/>
            <w:tcBorders>
              <w:top w:val="nil"/>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254844">
            <w:pPr>
              <w:pStyle w:val="TableText"/>
              <w:keepNext/>
            </w:pPr>
            <w:r w:rsidRPr="00612923">
              <w:t>11-Jul-12</w:t>
            </w:r>
          </w:p>
        </w:tc>
        <w:tc>
          <w:tcPr>
            <w:tcW w:w="810"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F</w:t>
            </w:r>
          </w:p>
        </w:tc>
        <w:tc>
          <w:tcPr>
            <w:tcW w:w="118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2.19</w:t>
            </w:r>
          </w:p>
        </w:tc>
        <w:tc>
          <w:tcPr>
            <w:tcW w:w="119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0.56</w:t>
            </w:r>
          </w:p>
        </w:tc>
        <w:tc>
          <w:tcPr>
            <w:tcW w:w="1222"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25</w:t>
            </w:r>
          </w:p>
        </w:tc>
        <w:tc>
          <w:tcPr>
            <w:tcW w:w="1206"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8.5</w:t>
            </w:r>
          </w:p>
        </w:tc>
        <w:tc>
          <w:tcPr>
            <w:tcW w:w="1139"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99</w:t>
            </w:r>
          </w:p>
        </w:tc>
        <w:tc>
          <w:tcPr>
            <w:tcW w:w="1261" w:type="dxa"/>
            <w:tcBorders>
              <w:top w:val="nil"/>
              <w:left w:val="nil"/>
              <w:bottom w:val="single" w:sz="4" w:space="0" w:color="auto"/>
              <w:right w:val="single" w:sz="4" w:space="0" w:color="auto"/>
            </w:tcBorders>
          </w:tcPr>
          <w:p w:rsidR="00871858" w:rsidRPr="00612923" w:rsidRDefault="00871858" w:rsidP="00254844">
            <w:pPr>
              <w:pStyle w:val="TableText"/>
              <w:keepNext/>
            </w:pPr>
            <w:r>
              <w:t>16.3</w:t>
            </w:r>
          </w:p>
        </w:tc>
      </w:tr>
      <w:tr w:rsidR="00871858" w:rsidRPr="00612923" w:rsidTr="006136B4">
        <w:trPr>
          <w:trHeight w:val="300"/>
        </w:trPr>
        <w:tc>
          <w:tcPr>
            <w:tcW w:w="1455" w:type="dxa"/>
            <w:tcBorders>
              <w:top w:val="nil"/>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254844">
            <w:pPr>
              <w:pStyle w:val="TableText"/>
              <w:keepNext/>
            </w:pPr>
            <w:r w:rsidRPr="00612923">
              <w:t>23-Jul-12</w:t>
            </w:r>
          </w:p>
        </w:tc>
        <w:tc>
          <w:tcPr>
            <w:tcW w:w="810"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W</w:t>
            </w:r>
          </w:p>
        </w:tc>
        <w:tc>
          <w:tcPr>
            <w:tcW w:w="118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1.76</w:t>
            </w:r>
          </w:p>
        </w:tc>
        <w:tc>
          <w:tcPr>
            <w:tcW w:w="119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0.41</w:t>
            </w:r>
          </w:p>
        </w:tc>
        <w:tc>
          <w:tcPr>
            <w:tcW w:w="1222"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23</w:t>
            </w:r>
          </w:p>
        </w:tc>
        <w:tc>
          <w:tcPr>
            <w:tcW w:w="1206"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7.6</w:t>
            </w:r>
          </w:p>
        </w:tc>
        <w:tc>
          <w:tcPr>
            <w:tcW w:w="1139"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88</w:t>
            </w:r>
          </w:p>
        </w:tc>
        <w:tc>
          <w:tcPr>
            <w:tcW w:w="1261" w:type="dxa"/>
            <w:tcBorders>
              <w:top w:val="nil"/>
              <w:left w:val="nil"/>
              <w:bottom w:val="single" w:sz="4" w:space="0" w:color="auto"/>
              <w:right w:val="single" w:sz="4" w:space="0" w:color="auto"/>
            </w:tcBorders>
          </w:tcPr>
          <w:p w:rsidR="00871858" w:rsidRPr="00612923" w:rsidRDefault="00871858" w:rsidP="00254844">
            <w:pPr>
              <w:pStyle w:val="TableText"/>
              <w:keepNext/>
            </w:pPr>
            <w:r>
              <w:t>15.1</w:t>
            </w:r>
          </w:p>
        </w:tc>
      </w:tr>
      <w:tr w:rsidR="00871858" w:rsidRPr="00612923" w:rsidTr="006136B4">
        <w:trPr>
          <w:trHeight w:val="300"/>
        </w:trPr>
        <w:tc>
          <w:tcPr>
            <w:tcW w:w="1455" w:type="dxa"/>
            <w:tcBorders>
              <w:top w:val="nil"/>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254844">
            <w:pPr>
              <w:pStyle w:val="TableText"/>
              <w:keepNext/>
            </w:pPr>
            <w:r w:rsidRPr="00612923">
              <w:t>4-Sep-12</w:t>
            </w:r>
          </w:p>
        </w:tc>
        <w:tc>
          <w:tcPr>
            <w:tcW w:w="810"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M</w:t>
            </w:r>
          </w:p>
        </w:tc>
        <w:tc>
          <w:tcPr>
            <w:tcW w:w="118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1.47</w:t>
            </w:r>
          </w:p>
        </w:tc>
        <w:tc>
          <w:tcPr>
            <w:tcW w:w="119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0.38</w:t>
            </w:r>
          </w:p>
        </w:tc>
        <w:tc>
          <w:tcPr>
            <w:tcW w:w="1222"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26</w:t>
            </w:r>
          </w:p>
        </w:tc>
        <w:tc>
          <w:tcPr>
            <w:tcW w:w="1206"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9.6</w:t>
            </w:r>
          </w:p>
        </w:tc>
        <w:tc>
          <w:tcPr>
            <w:tcW w:w="1139"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89</w:t>
            </w:r>
          </w:p>
        </w:tc>
        <w:tc>
          <w:tcPr>
            <w:tcW w:w="1261" w:type="dxa"/>
            <w:tcBorders>
              <w:top w:val="nil"/>
              <w:left w:val="nil"/>
              <w:bottom w:val="single" w:sz="4" w:space="0" w:color="auto"/>
              <w:right w:val="single" w:sz="4" w:space="0" w:color="auto"/>
            </w:tcBorders>
          </w:tcPr>
          <w:p w:rsidR="00871858" w:rsidRPr="00612923" w:rsidRDefault="00871858" w:rsidP="00254844">
            <w:pPr>
              <w:pStyle w:val="TableText"/>
              <w:keepNext/>
            </w:pPr>
            <w:r>
              <w:t>16.9</w:t>
            </w:r>
          </w:p>
        </w:tc>
      </w:tr>
      <w:tr w:rsidR="00871858" w:rsidRPr="00612923" w:rsidTr="006136B4">
        <w:trPr>
          <w:trHeight w:val="300"/>
        </w:trPr>
        <w:tc>
          <w:tcPr>
            <w:tcW w:w="1455" w:type="dxa"/>
            <w:tcBorders>
              <w:top w:val="nil"/>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254844">
            <w:pPr>
              <w:pStyle w:val="TableText"/>
              <w:keepNext/>
            </w:pPr>
            <w:r w:rsidRPr="00612923">
              <w:t>13-Sep-12</w:t>
            </w:r>
          </w:p>
        </w:tc>
        <w:tc>
          <w:tcPr>
            <w:tcW w:w="810"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M</w:t>
            </w:r>
          </w:p>
        </w:tc>
        <w:tc>
          <w:tcPr>
            <w:tcW w:w="118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1.53</w:t>
            </w:r>
          </w:p>
        </w:tc>
        <w:tc>
          <w:tcPr>
            <w:tcW w:w="119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0.38</w:t>
            </w:r>
          </w:p>
        </w:tc>
        <w:tc>
          <w:tcPr>
            <w:tcW w:w="1222"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25</w:t>
            </w:r>
          </w:p>
        </w:tc>
        <w:tc>
          <w:tcPr>
            <w:tcW w:w="1206"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10.0</w:t>
            </w:r>
          </w:p>
        </w:tc>
        <w:tc>
          <w:tcPr>
            <w:tcW w:w="1139"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90</w:t>
            </w:r>
          </w:p>
        </w:tc>
        <w:tc>
          <w:tcPr>
            <w:tcW w:w="1261" w:type="dxa"/>
            <w:tcBorders>
              <w:top w:val="nil"/>
              <w:left w:val="nil"/>
              <w:bottom w:val="single" w:sz="4" w:space="0" w:color="auto"/>
              <w:right w:val="single" w:sz="4" w:space="0" w:color="auto"/>
            </w:tcBorders>
          </w:tcPr>
          <w:p w:rsidR="00871858" w:rsidRPr="00612923" w:rsidRDefault="00871858" w:rsidP="00254844">
            <w:pPr>
              <w:pStyle w:val="TableText"/>
              <w:keepNext/>
            </w:pPr>
            <w:r>
              <w:t>17.4</w:t>
            </w:r>
          </w:p>
        </w:tc>
      </w:tr>
      <w:tr w:rsidR="00871858" w:rsidRPr="00612923" w:rsidTr="006136B4">
        <w:trPr>
          <w:trHeight w:val="300"/>
        </w:trPr>
        <w:tc>
          <w:tcPr>
            <w:tcW w:w="1455" w:type="dxa"/>
            <w:tcBorders>
              <w:top w:val="nil"/>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254844">
            <w:pPr>
              <w:pStyle w:val="TableText"/>
              <w:keepNext/>
            </w:pPr>
            <w:r w:rsidRPr="00612923">
              <w:t>14-Sep-12</w:t>
            </w:r>
          </w:p>
        </w:tc>
        <w:tc>
          <w:tcPr>
            <w:tcW w:w="810"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T</w:t>
            </w:r>
          </w:p>
        </w:tc>
        <w:tc>
          <w:tcPr>
            <w:tcW w:w="118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1.50</w:t>
            </w:r>
          </w:p>
        </w:tc>
        <w:tc>
          <w:tcPr>
            <w:tcW w:w="119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0.35</w:t>
            </w:r>
          </w:p>
        </w:tc>
        <w:tc>
          <w:tcPr>
            <w:tcW w:w="1222"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24</w:t>
            </w:r>
          </w:p>
        </w:tc>
        <w:tc>
          <w:tcPr>
            <w:tcW w:w="1206"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9.4</w:t>
            </w:r>
          </w:p>
        </w:tc>
        <w:tc>
          <w:tcPr>
            <w:tcW w:w="1139"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88</w:t>
            </w:r>
          </w:p>
        </w:tc>
        <w:tc>
          <w:tcPr>
            <w:tcW w:w="1261" w:type="dxa"/>
            <w:tcBorders>
              <w:top w:val="nil"/>
              <w:left w:val="nil"/>
              <w:bottom w:val="single" w:sz="4" w:space="0" w:color="auto"/>
              <w:right w:val="single" w:sz="4" w:space="0" w:color="auto"/>
            </w:tcBorders>
          </w:tcPr>
          <w:p w:rsidR="00871858" w:rsidRPr="00612923" w:rsidRDefault="00871858" w:rsidP="00254844">
            <w:pPr>
              <w:pStyle w:val="TableText"/>
              <w:keepNext/>
            </w:pPr>
            <w:r>
              <w:t>16.2</w:t>
            </w:r>
          </w:p>
        </w:tc>
      </w:tr>
      <w:tr w:rsidR="00871858" w:rsidRPr="00612923" w:rsidTr="006136B4">
        <w:trPr>
          <w:trHeight w:val="300"/>
        </w:trPr>
        <w:tc>
          <w:tcPr>
            <w:tcW w:w="1455" w:type="dxa"/>
            <w:tcBorders>
              <w:top w:val="nil"/>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254844">
            <w:pPr>
              <w:pStyle w:val="TableText"/>
              <w:keepNext/>
            </w:pPr>
            <w:r w:rsidRPr="00612923">
              <w:t>1-Oct-12</w:t>
            </w:r>
          </w:p>
        </w:tc>
        <w:tc>
          <w:tcPr>
            <w:tcW w:w="810"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M</w:t>
            </w:r>
          </w:p>
        </w:tc>
        <w:tc>
          <w:tcPr>
            <w:tcW w:w="118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1.63</w:t>
            </w:r>
          </w:p>
        </w:tc>
        <w:tc>
          <w:tcPr>
            <w:tcW w:w="119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0.45</w:t>
            </w:r>
          </w:p>
        </w:tc>
        <w:tc>
          <w:tcPr>
            <w:tcW w:w="1222"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28</w:t>
            </w:r>
          </w:p>
        </w:tc>
        <w:tc>
          <w:tcPr>
            <w:tcW w:w="1206"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12.2</w:t>
            </w:r>
          </w:p>
        </w:tc>
        <w:tc>
          <w:tcPr>
            <w:tcW w:w="1139"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97</w:t>
            </w:r>
          </w:p>
        </w:tc>
        <w:tc>
          <w:tcPr>
            <w:tcW w:w="1261" w:type="dxa"/>
            <w:tcBorders>
              <w:top w:val="nil"/>
              <w:left w:val="nil"/>
              <w:bottom w:val="single" w:sz="4" w:space="0" w:color="auto"/>
              <w:right w:val="single" w:sz="4" w:space="0" w:color="auto"/>
            </w:tcBorders>
          </w:tcPr>
          <w:p w:rsidR="00871858" w:rsidRPr="00612923" w:rsidRDefault="00871858" w:rsidP="00254844">
            <w:pPr>
              <w:pStyle w:val="TableText"/>
              <w:keepNext/>
            </w:pPr>
            <w:r>
              <w:t>23.4</w:t>
            </w:r>
          </w:p>
        </w:tc>
      </w:tr>
      <w:tr w:rsidR="00871858" w:rsidRPr="00612923" w:rsidTr="006136B4">
        <w:trPr>
          <w:trHeight w:val="300"/>
        </w:trPr>
        <w:tc>
          <w:tcPr>
            <w:tcW w:w="1455" w:type="dxa"/>
            <w:tcBorders>
              <w:top w:val="nil"/>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254844">
            <w:pPr>
              <w:pStyle w:val="TableText"/>
              <w:keepNext/>
            </w:pPr>
            <w:r w:rsidRPr="00612923">
              <w:t>2-Oct-12</w:t>
            </w:r>
          </w:p>
        </w:tc>
        <w:tc>
          <w:tcPr>
            <w:tcW w:w="810"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T</w:t>
            </w:r>
          </w:p>
        </w:tc>
        <w:tc>
          <w:tcPr>
            <w:tcW w:w="118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1.71</w:t>
            </w:r>
          </w:p>
        </w:tc>
        <w:tc>
          <w:tcPr>
            <w:tcW w:w="119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0.43</w:t>
            </w:r>
          </w:p>
        </w:tc>
        <w:tc>
          <w:tcPr>
            <w:tcW w:w="1222"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25</w:t>
            </w:r>
          </w:p>
        </w:tc>
        <w:tc>
          <w:tcPr>
            <w:tcW w:w="1206"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11.7</w:t>
            </w:r>
          </w:p>
        </w:tc>
        <w:tc>
          <w:tcPr>
            <w:tcW w:w="1139"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98</w:t>
            </w:r>
          </w:p>
        </w:tc>
        <w:tc>
          <w:tcPr>
            <w:tcW w:w="1261" w:type="dxa"/>
            <w:tcBorders>
              <w:top w:val="nil"/>
              <w:left w:val="nil"/>
              <w:bottom w:val="single" w:sz="4" w:space="0" w:color="auto"/>
              <w:right w:val="single" w:sz="4" w:space="0" w:color="auto"/>
            </w:tcBorders>
          </w:tcPr>
          <w:p w:rsidR="00871858" w:rsidRPr="00612923" w:rsidRDefault="00871858" w:rsidP="00254844">
            <w:pPr>
              <w:pStyle w:val="TableText"/>
              <w:keepNext/>
            </w:pPr>
            <w:r>
              <w:t>22.2</w:t>
            </w:r>
          </w:p>
        </w:tc>
      </w:tr>
      <w:tr w:rsidR="00871858" w:rsidRPr="00612923" w:rsidTr="006136B4">
        <w:trPr>
          <w:trHeight w:val="300"/>
        </w:trPr>
        <w:tc>
          <w:tcPr>
            <w:tcW w:w="1455" w:type="dxa"/>
            <w:tcBorders>
              <w:top w:val="nil"/>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254844">
            <w:pPr>
              <w:pStyle w:val="TableText"/>
              <w:keepNext/>
            </w:pPr>
            <w:r w:rsidRPr="00612923">
              <w:t>3-Oct-12</w:t>
            </w:r>
          </w:p>
        </w:tc>
        <w:tc>
          <w:tcPr>
            <w:tcW w:w="810"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W</w:t>
            </w:r>
          </w:p>
        </w:tc>
        <w:tc>
          <w:tcPr>
            <w:tcW w:w="118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1.53</w:t>
            </w:r>
          </w:p>
        </w:tc>
        <w:tc>
          <w:tcPr>
            <w:tcW w:w="119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0.35</w:t>
            </w:r>
          </w:p>
        </w:tc>
        <w:tc>
          <w:tcPr>
            <w:tcW w:w="1222"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23</w:t>
            </w:r>
          </w:p>
        </w:tc>
        <w:tc>
          <w:tcPr>
            <w:tcW w:w="1206"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9.4</w:t>
            </w:r>
          </w:p>
        </w:tc>
        <w:tc>
          <w:tcPr>
            <w:tcW w:w="1139"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254844">
            <w:pPr>
              <w:pStyle w:val="TableText"/>
              <w:keepNext/>
            </w:pPr>
            <w:r w:rsidRPr="00612923">
              <w:t>92</w:t>
            </w:r>
          </w:p>
        </w:tc>
        <w:tc>
          <w:tcPr>
            <w:tcW w:w="1261" w:type="dxa"/>
            <w:tcBorders>
              <w:top w:val="nil"/>
              <w:left w:val="nil"/>
              <w:bottom w:val="single" w:sz="4" w:space="0" w:color="auto"/>
              <w:right w:val="single" w:sz="4" w:space="0" w:color="auto"/>
            </w:tcBorders>
          </w:tcPr>
          <w:p w:rsidR="00871858" w:rsidRPr="00612923" w:rsidRDefault="00871858" w:rsidP="00254844">
            <w:pPr>
              <w:pStyle w:val="TableText"/>
              <w:keepNext/>
            </w:pPr>
            <w:r>
              <w:t>17.7</w:t>
            </w:r>
          </w:p>
        </w:tc>
      </w:tr>
      <w:tr w:rsidR="00871858" w:rsidRPr="00612923" w:rsidTr="006136B4">
        <w:trPr>
          <w:trHeight w:val="300"/>
        </w:trPr>
        <w:tc>
          <w:tcPr>
            <w:tcW w:w="1455" w:type="dxa"/>
            <w:tcBorders>
              <w:top w:val="nil"/>
              <w:left w:val="single" w:sz="4" w:space="0" w:color="auto"/>
              <w:bottom w:val="single" w:sz="4" w:space="0" w:color="auto"/>
              <w:right w:val="single" w:sz="4" w:space="0" w:color="auto"/>
            </w:tcBorders>
            <w:shd w:val="clear" w:color="auto" w:fill="auto"/>
            <w:noWrap/>
            <w:vAlign w:val="bottom"/>
            <w:hideMark/>
          </w:tcPr>
          <w:p w:rsidR="00871858" w:rsidRPr="00612923" w:rsidRDefault="00871858" w:rsidP="00A53378">
            <w:pPr>
              <w:pStyle w:val="TableText"/>
            </w:pPr>
            <w:r w:rsidRPr="00612923">
              <w:t>Average Event Day</w:t>
            </w:r>
          </w:p>
        </w:tc>
        <w:tc>
          <w:tcPr>
            <w:tcW w:w="810"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A53378">
            <w:pPr>
              <w:pStyle w:val="TableText"/>
            </w:pPr>
            <w:r w:rsidRPr="00612923">
              <w:t>N/A</w:t>
            </w:r>
          </w:p>
        </w:tc>
        <w:tc>
          <w:tcPr>
            <w:tcW w:w="118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A53378">
            <w:pPr>
              <w:pStyle w:val="TableText"/>
            </w:pPr>
            <w:r w:rsidRPr="00612923">
              <w:t>1.65</w:t>
            </w:r>
          </w:p>
        </w:tc>
        <w:tc>
          <w:tcPr>
            <w:tcW w:w="1194"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A53378">
            <w:pPr>
              <w:pStyle w:val="TableText"/>
            </w:pPr>
            <w:r w:rsidRPr="00612923">
              <w:t>0.42</w:t>
            </w:r>
          </w:p>
        </w:tc>
        <w:tc>
          <w:tcPr>
            <w:tcW w:w="1222"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A53378">
            <w:pPr>
              <w:pStyle w:val="TableText"/>
            </w:pPr>
            <w:r w:rsidRPr="00612923">
              <w:t>25</w:t>
            </w:r>
          </w:p>
        </w:tc>
        <w:tc>
          <w:tcPr>
            <w:tcW w:w="1206"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A53378">
            <w:pPr>
              <w:pStyle w:val="TableText"/>
            </w:pPr>
            <w:r w:rsidRPr="00612923">
              <w:t>9.2</w:t>
            </w:r>
          </w:p>
        </w:tc>
        <w:tc>
          <w:tcPr>
            <w:tcW w:w="1139" w:type="dxa"/>
            <w:tcBorders>
              <w:top w:val="nil"/>
              <w:left w:val="nil"/>
              <w:bottom w:val="single" w:sz="4" w:space="0" w:color="auto"/>
              <w:right w:val="single" w:sz="4" w:space="0" w:color="auto"/>
            </w:tcBorders>
            <w:shd w:val="clear" w:color="auto" w:fill="auto"/>
            <w:noWrap/>
            <w:vAlign w:val="center"/>
            <w:hideMark/>
          </w:tcPr>
          <w:p w:rsidR="00871858" w:rsidRPr="00612923" w:rsidRDefault="00871858" w:rsidP="00A53378">
            <w:pPr>
              <w:pStyle w:val="TableText"/>
            </w:pPr>
            <w:r w:rsidRPr="00612923">
              <w:t>92</w:t>
            </w:r>
          </w:p>
        </w:tc>
        <w:tc>
          <w:tcPr>
            <w:tcW w:w="1261" w:type="dxa"/>
            <w:tcBorders>
              <w:top w:val="nil"/>
              <w:left w:val="nil"/>
              <w:bottom w:val="single" w:sz="4" w:space="0" w:color="auto"/>
              <w:right w:val="single" w:sz="4" w:space="0" w:color="auto"/>
            </w:tcBorders>
            <w:vAlign w:val="center"/>
          </w:tcPr>
          <w:p w:rsidR="00871858" w:rsidRPr="00612923" w:rsidRDefault="00871858" w:rsidP="004F50A8">
            <w:pPr>
              <w:pStyle w:val="TableText"/>
            </w:pPr>
            <w:r>
              <w:t>17.1</w:t>
            </w:r>
          </w:p>
        </w:tc>
      </w:tr>
    </w:tbl>
    <w:p w:rsidR="00A53378" w:rsidRPr="00612923" w:rsidRDefault="00A53378" w:rsidP="00A53378">
      <w:pPr>
        <w:pStyle w:val="Heading2"/>
        <w:spacing w:before="360"/>
      </w:pPr>
      <w:bookmarkStart w:id="6" w:name="_Toc349193872"/>
      <w:bookmarkStart w:id="7" w:name="_Toc352567287"/>
      <w:r w:rsidRPr="00612923">
        <w:t>SmartRate Ex Ante Evaluation Summary</w:t>
      </w:r>
      <w:bookmarkEnd w:id="6"/>
      <w:bookmarkEnd w:id="7"/>
    </w:p>
    <w:p w:rsidR="00A55571" w:rsidRPr="00612923" w:rsidRDefault="00A53378" w:rsidP="00A53378">
      <w:pPr>
        <w:pStyle w:val="BodyParagraph"/>
      </w:pPr>
      <w:r w:rsidRPr="00612923">
        <w:t>Ex ante load impact estimates for SmartRate-only and dually-enrolled customers are shown for 2012 in Table 1-</w:t>
      </w:r>
      <w:r w:rsidR="00237859" w:rsidRPr="00612923">
        <w:t>3</w:t>
      </w:r>
      <w:r w:rsidRPr="00612923">
        <w:t>.  The first and second</w:t>
      </w:r>
      <w:r w:rsidR="00A55571" w:rsidRPr="00612923">
        <w:t xml:space="preserve"> (numerical)</w:t>
      </w:r>
      <w:r w:rsidRPr="00612923">
        <w:t xml:space="preserve"> columns show the average hourly per customer ex ante </w:t>
      </w:r>
      <w:r w:rsidRPr="00612923">
        <w:lastRenderedPageBreak/>
        <w:t xml:space="preserve">load impact estimate over the event period from </w:t>
      </w:r>
      <w:r w:rsidR="00BC2ABB">
        <w:t>1</w:t>
      </w:r>
      <w:r w:rsidRPr="00612923">
        <w:t xml:space="preserve"> to 6 PM for SmartRate-only customers and dually-enrolled customers, respectively.  The third column shows the aggregate mean hourly impact for the SmartRate only population while the fourth column shows the same measure for dually-enrolled customers.  The first </w:t>
      </w:r>
      <w:proofErr w:type="gramStart"/>
      <w:r w:rsidRPr="00612923">
        <w:t>set of rows correspond</w:t>
      </w:r>
      <w:proofErr w:type="gramEnd"/>
      <w:r w:rsidRPr="00612923">
        <w:t xml:space="preserve"> to 1-in-2 weather conditions while the second set covers 1-in-10 weather conditions.  In interpreting the results in this table, it is important to keep in mind that, just like the ex post </w:t>
      </w:r>
      <w:proofErr w:type="gramStart"/>
      <w:r w:rsidRPr="00612923">
        <w:t>results,</w:t>
      </w:r>
      <w:proofErr w:type="gramEnd"/>
      <w:r w:rsidRPr="00612923">
        <w:t xml:space="preserve"> these reflect the effect of a growing population during the period.  PG&amp;E provided FSC with the enrollment forecast for the program for the next 11 years.  From May-October 2013, the total program is expected to grow from about </w:t>
      </w:r>
      <w:r w:rsidR="00BA2E6F">
        <w:t>90</w:t>
      </w:r>
      <w:r w:rsidRPr="00612923">
        <w:t xml:space="preserve">,000 to </w:t>
      </w:r>
      <w:r w:rsidR="001A3C3D">
        <w:t>100</w:t>
      </w:r>
      <w:r w:rsidRPr="00612923">
        <w:t xml:space="preserve">,000 customers, with the SmartRate-only population expected to increase from about </w:t>
      </w:r>
      <w:r w:rsidR="001A3C3D">
        <w:t>5</w:t>
      </w:r>
      <w:r w:rsidR="00BA2E6F">
        <w:t>4</w:t>
      </w:r>
      <w:r w:rsidRPr="00612923">
        <w:t xml:space="preserve">,000 to about </w:t>
      </w:r>
      <w:r w:rsidR="001A3C3D">
        <w:t>5</w:t>
      </w:r>
      <w:r w:rsidR="00BA2E6F">
        <w:t>7</w:t>
      </w:r>
      <w:r w:rsidRPr="00612923">
        <w:t xml:space="preserve">,000 customers and </w:t>
      </w:r>
      <w:r w:rsidR="00DE471D" w:rsidRPr="00612923">
        <w:t xml:space="preserve">the </w:t>
      </w:r>
      <w:r w:rsidRPr="00612923">
        <w:t>dually-enrolled population</w:t>
      </w:r>
      <w:r w:rsidR="00DE471D" w:rsidRPr="00612923">
        <w:t xml:space="preserve"> is</w:t>
      </w:r>
      <w:r w:rsidRPr="00612923">
        <w:t xml:space="preserve"> expected to increase from about </w:t>
      </w:r>
      <w:r w:rsidR="00BA2E6F">
        <w:t>32</w:t>
      </w:r>
      <w:r w:rsidRPr="00612923">
        <w:t xml:space="preserve">,000 to about </w:t>
      </w:r>
      <w:r w:rsidR="00BA2E6F">
        <w:t>39</w:t>
      </w:r>
      <w:r w:rsidRPr="00612923">
        <w:t xml:space="preserve">,000 customers.  With that in mind, both populations within the program are expected to provide their largest impacts in July under both 1-in-2 and 1-in-10 conditions.  </w:t>
      </w:r>
    </w:p>
    <w:p w:rsidR="00A55571" w:rsidRPr="00612923" w:rsidRDefault="00A55571">
      <w:pPr>
        <w:rPr>
          <w:rFonts w:ascii="Verdana" w:hAnsi="Verdana"/>
          <w:sz w:val="18"/>
        </w:rPr>
      </w:pPr>
      <w:r w:rsidRPr="00612923">
        <w:br w:type="page"/>
      </w:r>
    </w:p>
    <w:p w:rsidR="00A53378" w:rsidRDefault="00A53378" w:rsidP="00A53378">
      <w:pPr>
        <w:pStyle w:val="TableFigureCaption"/>
        <w:keepLines/>
      </w:pPr>
      <w:r w:rsidRPr="00612923">
        <w:lastRenderedPageBreak/>
        <w:t>Table 1-3: 2013 SmartRate</w:t>
      </w:r>
      <w:r w:rsidR="00762BA8">
        <w:t xml:space="preserve"> </w:t>
      </w:r>
      <w:proofErr w:type="gramStart"/>
      <w:r w:rsidR="00762BA8">
        <w:t>Ex</w:t>
      </w:r>
      <w:proofErr w:type="gramEnd"/>
      <w:r w:rsidR="00762BA8">
        <w:t xml:space="preserve"> Ante</w:t>
      </w:r>
      <w:r w:rsidRPr="00612923">
        <w:t xml:space="preserve"> Load Impact Estimates</w:t>
      </w:r>
      <w:r w:rsidRPr="00612923">
        <w:br/>
        <w:t xml:space="preserve">by Weather Year and Day Type </w:t>
      </w:r>
      <w:r w:rsidRPr="00612923">
        <w:br/>
        <w:t xml:space="preserve">(Event Period </w:t>
      </w:r>
      <w:r w:rsidR="006D7EBA">
        <w:t>1</w:t>
      </w:r>
      <w:r w:rsidRPr="00612923">
        <w:t xml:space="preserve"> PM-</w:t>
      </w:r>
      <w:r w:rsidR="006D7EBA">
        <w:t>6</w:t>
      </w:r>
      <w:r w:rsidRPr="00612923">
        <w:t xml:space="preserve"> PM)</w:t>
      </w:r>
    </w:p>
    <w:tbl>
      <w:tblPr>
        <w:tblW w:w="10220" w:type="dxa"/>
        <w:tblInd w:w="-252" w:type="dxa"/>
        <w:tblLayout w:type="fixed"/>
        <w:tblLook w:val="04A0"/>
      </w:tblPr>
      <w:tblGrid>
        <w:gridCol w:w="990"/>
        <w:gridCol w:w="1890"/>
        <w:gridCol w:w="1660"/>
        <w:gridCol w:w="1460"/>
        <w:gridCol w:w="1540"/>
        <w:gridCol w:w="1370"/>
        <w:gridCol w:w="1310"/>
      </w:tblGrid>
      <w:tr w:rsidR="00295FC8" w:rsidRPr="006F4150" w:rsidTr="00635DFC">
        <w:trPr>
          <w:trHeight w:val="975"/>
        </w:trPr>
        <w:tc>
          <w:tcPr>
            <w:tcW w:w="990" w:type="dxa"/>
            <w:vMerge w:val="restart"/>
            <w:tcBorders>
              <w:top w:val="single" w:sz="8" w:space="0" w:color="auto"/>
              <w:left w:val="single" w:sz="8" w:space="0" w:color="auto"/>
              <w:bottom w:val="single" w:sz="8" w:space="0" w:color="000000"/>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Weather Year</w:t>
            </w:r>
          </w:p>
        </w:tc>
        <w:tc>
          <w:tcPr>
            <w:tcW w:w="1890" w:type="dxa"/>
            <w:vMerge w:val="restart"/>
            <w:tcBorders>
              <w:top w:val="single" w:sz="8" w:space="0" w:color="auto"/>
              <w:left w:val="single" w:sz="8" w:space="0" w:color="FFFFFF"/>
              <w:bottom w:val="single" w:sz="8" w:space="0" w:color="000000"/>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Day Type</w:t>
            </w:r>
          </w:p>
        </w:tc>
        <w:tc>
          <w:tcPr>
            <w:tcW w:w="1660" w:type="dxa"/>
            <w:tcBorders>
              <w:top w:val="single" w:sz="8" w:space="0" w:color="auto"/>
              <w:left w:val="nil"/>
              <w:bottom w:val="single" w:sz="8" w:space="0" w:color="FFFFFF"/>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Mean Hourly Per Customer Impact (SmartRate Only)</w:t>
            </w:r>
          </w:p>
        </w:tc>
        <w:tc>
          <w:tcPr>
            <w:tcW w:w="1460" w:type="dxa"/>
            <w:tcBorders>
              <w:top w:val="single" w:sz="8" w:space="0" w:color="auto"/>
              <w:left w:val="nil"/>
              <w:bottom w:val="single" w:sz="8" w:space="0" w:color="FFFFFF"/>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Mean Hourly Per Customer Impact (Dually Enrolled)</w:t>
            </w:r>
          </w:p>
        </w:tc>
        <w:tc>
          <w:tcPr>
            <w:tcW w:w="1540" w:type="dxa"/>
            <w:tcBorders>
              <w:top w:val="single" w:sz="8" w:space="0" w:color="auto"/>
              <w:left w:val="nil"/>
              <w:bottom w:val="single" w:sz="8" w:space="0" w:color="FFFFFF"/>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Aggregate Mean Hourly Impact (SmartRate Only)</w:t>
            </w:r>
          </w:p>
        </w:tc>
        <w:tc>
          <w:tcPr>
            <w:tcW w:w="1370" w:type="dxa"/>
            <w:tcBorders>
              <w:top w:val="single" w:sz="8" w:space="0" w:color="auto"/>
              <w:left w:val="nil"/>
              <w:bottom w:val="single" w:sz="8" w:space="0" w:color="FFFFFF"/>
              <w:right w:val="single" w:sz="4" w:space="0" w:color="FFFFFF" w:themeColor="background1"/>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Aggregate Mean Hourly Impact (Dually Enrolled)</w:t>
            </w:r>
          </w:p>
        </w:tc>
        <w:tc>
          <w:tcPr>
            <w:tcW w:w="1310" w:type="dxa"/>
            <w:tcBorders>
              <w:top w:val="single" w:sz="8" w:space="0" w:color="auto"/>
              <w:left w:val="single" w:sz="4" w:space="0" w:color="FFFFFF" w:themeColor="background1"/>
              <w:bottom w:val="single" w:sz="8" w:space="0" w:color="FFFFFF"/>
              <w:right w:val="nil"/>
            </w:tcBorders>
            <w:shd w:val="clear" w:color="000000" w:fill="1F497D"/>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Aggregate Mean Hourly Impact (Full Program)</w:t>
            </w:r>
          </w:p>
        </w:tc>
      </w:tr>
      <w:tr w:rsidR="00295FC8" w:rsidRPr="006F4150" w:rsidTr="00635DFC">
        <w:trPr>
          <w:trHeight w:val="315"/>
        </w:trPr>
        <w:tc>
          <w:tcPr>
            <w:tcW w:w="990" w:type="dxa"/>
            <w:vMerge/>
            <w:tcBorders>
              <w:top w:val="single" w:sz="8" w:space="0" w:color="auto"/>
              <w:left w:val="single" w:sz="8" w:space="0" w:color="auto"/>
              <w:bottom w:val="single" w:sz="8" w:space="0" w:color="000000"/>
              <w:right w:val="single" w:sz="8" w:space="0" w:color="FFFFFF"/>
            </w:tcBorders>
            <w:vAlign w:val="center"/>
            <w:hideMark/>
          </w:tcPr>
          <w:p w:rsidR="00295FC8" w:rsidRPr="006F4150" w:rsidRDefault="00295FC8" w:rsidP="00254844">
            <w:pPr>
              <w:keepNext/>
              <w:spacing w:after="0" w:line="240" w:lineRule="auto"/>
              <w:rPr>
                <w:rFonts w:ascii="Arial" w:eastAsia="Times New Roman" w:hAnsi="Arial" w:cs="Arial"/>
                <w:b/>
                <w:bCs/>
                <w:color w:val="FFFFFF"/>
                <w:sz w:val="18"/>
                <w:szCs w:val="18"/>
              </w:rPr>
            </w:pPr>
          </w:p>
        </w:tc>
        <w:tc>
          <w:tcPr>
            <w:tcW w:w="1890" w:type="dxa"/>
            <w:vMerge/>
            <w:tcBorders>
              <w:top w:val="single" w:sz="8" w:space="0" w:color="auto"/>
              <w:left w:val="single" w:sz="8" w:space="0" w:color="FFFFFF"/>
              <w:bottom w:val="single" w:sz="8" w:space="0" w:color="000000"/>
              <w:right w:val="single" w:sz="8" w:space="0" w:color="FFFFFF"/>
            </w:tcBorders>
            <w:vAlign w:val="center"/>
            <w:hideMark/>
          </w:tcPr>
          <w:p w:rsidR="00295FC8" w:rsidRPr="006F4150" w:rsidRDefault="00295FC8" w:rsidP="00254844">
            <w:pPr>
              <w:keepNext/>
              <w:spacing w:after="0" w:line="240" w:lineRule="auto"/>
              <w:rPr>
                <w:rFonts w:ascii="Arial" w:eastAsia="Times New Roman" w:hAnsi="Arial" w:cs="Arial"/>
                <w:b/>
                <w:bCs/>
                <w:color w:val="FFFFFF"/>
                <w:sz w:val="18"/>
                <w:szCs w:val="18"/>
              </w:rPr>
            </w:pPr>
          </w:p>
        </w:tc>
        <w:tc>
          <w:tcPr>
            <w:tcW w:w="1660" w:type="dxa"/>
            <w:tcBorders>
              <w:top w:val="nil"/>
              <w:left w:val="nil"/>
              <w:bottom w:val="single" w:sz="8" w:space="0" w:color="auto"/>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(kW)</w:t>
            </w:r>
          </w:p>
        </w:tc>
        <w:tc>
          <w:tcPr>
            <w:tcW w:w="1460" w:type="dxa"/>
            <w:tcBorders>
              <w:top w:val="single" w:sz="8" w:space="0" w:color="FFFFFF"/>
              <w:left w:val="nil"/>
              <w:bottom w:val="single" w:sz="4" w:space="0" w:color="auto"/>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(kW)</w:t>
            </w:r>
          </w:p>
        </w:tc>
        <w:tc>
          <w:tcPr>
            <w:tcW w:w="1540" w:type="dxa"/>
            <w:tcBorders>
              <w:top w:val="nil"/>
              <w:left w:val="nil"/>
              <w:bottom w:val="single" w:sz="8" w:space="0" w:color="000000"/>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(MW)</w:t>
            </w:r>
          </w:p>
        </w:tc>
        <w:tc>
          <w:tcPr>
            <w:tcW w:w="1370" w:type="dxa"/>
            <w:tcBorders>
              <w:top w:val="nil"/>
              <w:left w:val="nil"/>
              <w:bottom w:val="single" w:sz="8" w:space="0" w:color="auto"/>
              <w:right w:val="single" w:sz="4" w:space="0" w:color="FFFFFF" w:themeColor="background1"/>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(MW)</w:t>
            </w:r>
          </w:p>
        </w:tc>
        <w:tc>
          <w:tcPr>
            <w:tcW w:w="1310" w:type="dxa"/>
            <w:tcBorders>
              <w:top w:val="nil"/>
              <w:left w:val="single" w:sz="4" w:space="0" w:color="FFFFFF" w:themeColor="background1"/>
              <w:bottom w:val="single" w:sz="8" w:space="0" w:color="auto"/>
              <w:right w:val="nil"/>
            </w:tcBorders>
            <w:shd w:val="clear" w:color="000000" w:fill="1F497D"/>
            <w:vAlign w:val="center"/>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(MW)</w:t>
            </w:r>
          </w:p>
        </w:tc>
      </w:tr>
      <w:tr w:rsidR="00295FC8" w:rsidRPr="006F4150" w:rsidTr="00635DFC">
        <w:trPr>
          <w:trHeight w:val="315"/>
        </w:trPr>
        <w:tc>
          <w:tcPr>
            <w:tcW w:w="990" w:type="dxa"/>
            <w:vMerge w:val="restart"/>
            <w:tcBorders>
              <w:top w:val="nil"/>
              <w:left w:val="single" w:sz="8" w:space="0" w:color="auto"/>
              <w:bottom w:val="single" w:sz="8" w:space="0" w:color="000000"/>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1-in-2</w:t>
            </w: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Typical Event Day</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0.18</w:t>
            </w:r>
          </w:p>
        </w:tc>
        <w:tc>
          <w:tcPr>
            <w:tcW w:w="1460" w:type="dxa"/>
            <w:tcBorders>
              <w:top w:val="single" w:sz="4" w:space="0" w:color="auto"/>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0.40</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11</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23</w:t>
            </w:r>
          </w:p>
        </w:tc>
      </w:tr>
      <w:tr w:rsidR="00295FC8" w:rsidRPr="006F4150" w:rsidTr="00635DFC">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May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0.09</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0.29</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5</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9</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14</w:t>
            </w:r>
          </w:p>
        </w:tc>
      </w:tr>
      <w:tr w:rsidR="00295FC8" w:rsidRPr="006F4150" w:rsidTr="00635DFC">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June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0.15</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0.37</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9</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11</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20</w:t>
            </w:r>
          </w:p>
        </w:tc>
      </w:tr>
      <w:tr w:rsidR="00295FC8" w:rsidRPr="006F4150" w:rsidTr="00635DFC">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July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0.23</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0.47</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15</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28</w:t>
            </w:r>
          </w:p>
        </w:tc>
      </w:tr>
      <w:tr w:rsidR="00295FC8" w:rsidRPr="006F4150" w:rsidTr="00635DFC">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August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0.18</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0.40</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11</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23</w:t>
            </w:r>
          </w:p>
        </w:tc>
      </w:tr>
      <w:tr w:rsidR="00295FC8" w:rsidRPr="006F4150" w:rsidTr="00635DFC">
        <w:trPr>
          <w:trHeight w:val="49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September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0.16</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0.38</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10</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22</w:t>
            </w:r>
          </w:p>
        </w:tc>
      </w:tr>
      <w:tr w:rsidR="00295FC8" w:rsidRPr="006F4150" w:rsidTr="00635DFC">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October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0.07</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0.27</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5</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9</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14</w:t>
            </w:r>
          </w:p>
        </w:tc>
      </w:tr>
      <w:tr w:rsidR="00295FC8" w:rsidRPr="006F4150" w:rsidTr="00635DFC">
        <w:trPr>
          <w:trHeight w:val="315"/>
        </w:trPr>
        <w:tc>
          <w:tcPr>
            <w:tcW w:w="990" w:type="dxa"/>
            <w:vMerge w:val="restart"/>
            <w:tcBorders>
              <w:top w:val="nil"/>
              <w:left w:val="single" w:sz="8" w:space="0" w:color="auto"/>
              <w:bottom w:val="single" w:sz="8" w:space="0" w:color="000000"/>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1-in-10</w:t>
            </w: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Typical Event Day</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0.25</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0.51</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15</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16</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31</w:t>
            </w:r>
          </w:p>
        </w:tc>
      </w:tr>
      <w:tr w:rsidR="00295FC8" w:rsidRPr="006F4150" w:rsidTr="00635DFC">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May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0.21</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0.45</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12</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26</w:t>
            </w:r>
          </w:p>
        </w:tc>
      </w:tr>
      <w:tr w:rsidR="00295FC8" w:rsidRPr="006F4150" w:rsidTr="00635DFC">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June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0.24</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0.49</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14</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15</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29</w:t>
            </w:r>
          </w:p>
        </w:tc>
      </w:tr>
      <w:tr w:rsidR="00295FC8" w:rsidRPr="006F4150" w:rsidTr="00635DFC">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July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0.29</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0.57</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17</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18</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35</w:t>
            </w:r>
          </w:p>
        </w:tc>
      </w:tr>
      <w:tr w:rsidR="00295FC8" w:rsidRPr="006F4150" w:rsidTr="00635DFC">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August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0.27</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0.52</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16</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17</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33</w:t>
            </w:r>
          </w:p>
        </w:tc>
      </w:tr>
      <w:tr w:rsidR="00295FC8" w:rsidRPr="006F4150" w:rsidTr="00635DFC">
        <w:trPr>
          <w:trHeight w:val="49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September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keepNext/>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0.22</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0.45</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15</w:t>
            </w:r>
          </w:p>
        </w:tc>
        <w:tc>
          <w:tcPr>
            <w:tcW w:w="1310" w:type="dxa"/>
            <w:tcBorders>
              <w:top w:val="nil"/>
              <w:left w:val="nil"/>
              <w:bottom w:val="single" w:sz="8" w:space="0" w:color="auto"/>
              <w:right w:val="single" w:sz="8" w:space="0" w:color="auto"/>
            </w:tcBorders>
            <w:vAlign w:val="center"/>
          </w:tcPr>
          <w:p w:rsidR="005264A2" w:rsidRDefault="00280766">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28</w:t>
            </w:r>
          </w:p>
        </w:tc>
      </w:tr>
      <w:tr w:rsidR="00295FC8" w:rsidRPr="006F4150" w:rsidTr="00635DFC">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6D7EBA">
            <w:pPr>
              <w:spacing w:after="0" w:line="240" w:lineRule="auto"/>
              <w:rPr>
                <w:rFonts w:ascii="Arial" w:eastAsia="Times New Roman" w:hAnsi="Arial" w:cs="Arial"/>
                <w:b/>
                <w:bCs/>
                <w:color w:val="000000"/>
                <w:sz w:val="18"/>
                <w:szCs w:val="18"/>
              </w:rPr>
            </w:pPr>
          </w:p>
        </w:tc>
        <w:tc>
          <w:tcPr>
            <w:tcW w:w="189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6D7EBA">
            <w:pPr>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October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35DFC" w:rsidRDefault="00295FC8" w:rsidP="004F50A8">
            <w:pPr>
              <w:spacing w:after="0" w:line="240" w:lineRule="auto"/>
              <w:jc w:val="center"/>
              <w:rPr>
                <w:rFonts w:ascii="Arial" w:eastAsia="Times New Roman" w:hAnsi="Arial" w:cs="Arial"/>
                <w:color w:val="000000"/>
                <w:sz w:val="18"/>
                <w:szCs w:val="18"/>
              </w:rPr>
            </w:pPr>
            <w:r w:rsidRPr="004F50A8">
              <w:rPr>
                <w:rFonts w:ascii="Arial" w:eastAsia="Times New Roman" w:hAnsi="Arial" w:cs="Arial"/>
                <w:color w:val="000000"/>
                <w:sz w:val="18"/>
                <w:szCs w:val="18"/>
              </w:rPr>
              <w:t>0.17</w:t>
            </w:r>
          </w:p>
        </w:tc>
        <w:tc>
          <w:tcPr>
            <w:tcW w:w="1460" w:type="dxa"/>
            <w:tcBorders>
              <w:top w:val="nil"/>
              <w:left w:val="nil"/>
              <w:bottom w:val="single" w:sz="8" w:space="0" w:color="auto"/>
              <w:right w:val="single" w:sz="8" w:space="0" w:color="auto"/>
            </w:tcBorders>
            <w:shd w:val="clear" w:color="auto" w:fill="auto"/>
            <w:vAlign w:val="center"/>
            <w:hideMark/>
          </w:tcPr>
          <w:p w:rsidR="005264A2" w:rsidRDefault="00266B11">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0.40</w:t>
            </w:r>
          </w:p>
        </w:tc>
        <w:tc>
          <w:tcPr>
            <w:tcW w:w="1540" w:type="dxa"/>
            <w:tcBorders>
              <w:top w:val="nil"/>
              <w:left w:val="nil"/>
              <w:bottom w:val="single" w:sz="8" w:space="0" w:color="auto"/>
              <w:right w:val="single" w:sz="8" w:space="0" w:color="auto"/>
            </w:tcBorders>
            <w:shd w:val="clear" w:color="auto" w:fill="auto"/>
            <w:vAlign w:val="center"/>
            <w:hideMark/>
          </w:tcPr>
          <w:p w:rsidR="005264A2" w:rsidRDefault="00280766">
            <w:pPr>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11</w:t>
            </w:r>
          </w:p>
        </w:tc>
        <w:tc>
          <w:tcPr>
            <w:tcW w:w="1370" w:type="dxa"/>
            <w:tcBorders>
              <w:top w:val="nil"/>
              <w:left w:val="nil"/>
              <w:bottom w:val="single" w:sz="8" w:space="0" w:color="auto"/>
              <w:right w:val="single" w:sz="8" w:space="0" w:color="auto"/>
            </w:tcBorders>
            <w:shd w:val="clear" w:color="auto" w:fill="auto"/>
            <w:vAlign w:val="center"/>
            <w:hideMark/>
          </w:tcPr>
          <w:p w:rsidR="005264A2" w:rsidRDefault="00280766">
            <w:pPr>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310" w:type="dxa"/>
            <w:tcBorders>
              <w:top w:val="nil"/>
              <w:left w:val="nil"/>
              <w:bottom w:val="single" w:sz="8" w:space="0" w:color="auto"/>
              <w:right w:val="single" w:sz="8" w:space="0" w:color="auto"/>
            </w:tcBorders>
            <w:vAlign w:val="center"/>
          </w:tcPr>
          <w:p w:rsidR="005264A2" w:rsidRDefault="00280766">
            <w:pPr>
              <w:spacing w:after="0" w:line="240" w:lineRule="auto"/>
              <w:jc w:val="center"/>
              <w:rPr>
                <w:rFonts w:ascii="Arial" w:hAnsi="Arial" w:cs="Arial"/>
                <w:color w:val="000000"/>
                <w:sz w:val="18"/>
                <w:szCs w:val="18"/>
              </w:rPr>
            </w:pPr>
            <w:r w:rsidRPr="00280766">
              <w:rPr>
                <w:rFonts w:ascii="Arial" w:hAnsi="Arial" w:cs="Arial"/>
                <w:color w:val="000000"/>
                <w:sz w:val="18"/>
                <w:szCs w:val="18"/>
              </w:rPr>
              <w:t>24</w:t>
            </w:r>
          </w:p>
        </w:tc>
      </w:tr>
    </w:tbl>
    <w:p w:rsidR="006D7EBA" w:rsidRPr="006D7EBA" w:rsidRDefault="006D7EBA" w:rsidP="006D7EBA">
      <w:pPr>
        <w:pStyle w:val="BodyParagraph"/>
      </w:pPr>
    </w:p>
    <w:p w:rsidR="00A53378" w:rsidRPr="00612923" w:rsidRDefault="00A53378" w:rsidP="00A53378">
      <w:pPr>
        <w:pStyle w:val="Heading2"/>
        <w:spacing w:before="360"/>
      </w:pPr>
      <w:bookmarkStart w:id="8" w:name="_Toc326138400"/>
      <w:bookmarkStart w:id="9" w:name="_Toc326154547"/>
      <w:bookmarkStart w:id="10" w:name="_Toc349193873"/>
      <w:bookmarkStart w:id="11" w:name="_Toc352567288"/>
      <w:bookmarkEnd w:id="8"/>
      <w:bookmarkEnd w:id="9"/>
      <w:r w:rsidRPr="00612923">
        <w:t xml:space="preserve">TOU Ex Post </w:t>
      </w:r>
      <w:bookmarkEnd w:id="5"/>
      <w:r w:rsidRPr="00612923">
        <w:t>Evaluation Summary</w:t>
      </w:r>
      <w:bookmarkEnd w:id="10"/>
      <w:bookmarkEnd w:id="11"/>
    </w:p>
    <w:p w:rsidR="00A53378" w:rsidRPr="00612923" w:rsidRDefault="00A53378" w:rsidP="00A53378">
      <w:pPr>
        <w:pStyle w:val="BodyParagraph"/>
      </w:pPr>
      <w:r w:rsidRPr="00612923">
        <w:t>PG&amp;E has two time-of-use (TOU) tariffs</w:t>
      </w:r>
      <w:r w:rsidR="00DE471D" w:rsidRPr="00612923">
        <w:t>—</w:t>
      </w:r>
      <w:r w:rsidRPr="00612923">
        <w:t>E-7 and E-6</w:t>
      </w:r>
      <w:r w:rsidR="00DE471D" w:rsidRPr="00612923">
        <w:t>—</w:t>
      </w:r>
      <w:r w:rsidRPr="00612923">
        <w:t xml:space="preserve">with 70,500 and 20,700 residential customers, respectively.  Prices during peak periods are substantially higher than during off-peak periods, particularly during summer months (May-October), encouraging customers to shift electricity use away from peak hours.  The time-varying rates are in effect every weekday.  </w:t>
      </w:r>
    </w:p>
    <w:p w:rsidR="00A53378" w:rsidRPr="00612923" w:rsidRDefault="00A53378" w:rsidP="00A53378">
      <w:pPr>
        <w:pStyle w:val="BodyParagraph"/>
      </w:pPr>
      <w:r w:rsidRPr="00612923">
        <w:t xml:space="preserve">The evaluation excludes net-metered customers because they likely have solar panels (and are already accounted for in the evaluation of solar programs).  In addition, the evaluation does not produce separate load impact estimates for E-6 customers.  Nearly 90% of the 20,700 E-6 customers are net metered and relatively few of the non-net-metered E-6 customers (11%) had smart meters installed for a full year.  In total, the evaluation results are representative for approximately 60,000 </w:t>
      </w:r>
      <w:r w:rsidR="00D141F9">
        <w:t>non net-metered</w:t>
      </w:r>
      <w:r w:rsidR="001A3C3D">
        <w:t xml:space="preserve"> </w:t>
      </w:r>
      <w:r w:rsidRPr="00612923">
        <w:t>E</w:t>
      </w:r>
      <w:r w:rsidR="00DE471D" w:rsidRPr="00612923">
        <w:noBreakHyphen/>
      </w:r>
      <w:r w:rsidRPr="00612923">
        <w:t>6 and E-7 accounts.</w:t>
      </w:r>
    </w:p>
    <w:p w:rsidR="00A53378" w:rsidRPr="00612923" w:rsidRDefault="00A53378" w:rsidP="00A53378">
      <w:pPr>
        <w:pStyle w:val="BodyParagraph"/>
      </w:pPr>
      <w:r w:rsidRPr="00612923">
        <w:t xml:space="preserve">Table 1-4 shows the average load reduction on monthly system peak days for E-6 and E-7 customers during the time period included in the analysis, from </w:t>
      </w:r>
      <w:r w:rsidR="00FA5F68">
        <w:t>November 1</w:t>
      </w:r>
      <w:r w:rsidRPr="00612923">
        <w:t xml:space="preserve">, </w:t>
      </w:r>
      <w:r w:rsidR="00FA5F68" w:rsidRPr="00612923">
        <w:t>201</w:t>
      </w:r>
      <w:r w:rsidR="00FA5F68">
        <w:t>1</w:t>
      </w:r>
      <w:r w:rsidR="00FA5F68" w:rsidRPr="00612923">
        <w:t xml:space="preserve"> </w:t>
      </w:r>
      <w:r w:rsidRPr="00612923">
        <w:t xml:space="preserve">through October 31, 2012. </w:t>
      </w:r>
    </w:p>
    <w:p w:rsidR="00A53378" w:rsidRDefault="00A53378" w:rsidP="00A53378">
      <w:pPr>
        <w:pStyle w:val="TableFigureCaption"/>
      </w:pPr>
      <w:r w:rsidRPr="00612923">
        <w:lastRenderedPageBreak/>
        <w:t>Table 1</w:t>
      </w:r>
      <w:r w:rsidRPr="00612923">
        <w:noBreakHyphen/>
        <w:t xml:space="preserve">4: TOU Monthly System Peak Day Load Reductions (12 PM to 6 PM) </w:t>
      </w:r>
      <w:r w:rsidRPr="00612923">
        <w:br/>
      </w:r>
      <w:r w:rsidR="00FA5F68">
        <w:t>November 2011</w:t>
      </w:r>
      <w:r w:rsidRPr="00612923">
        <w:t xml:space="preserve"> to </w:t>
      </w:r>
      <w:r w:rsidR="00FA5F68">
        <w:t>October 2012</w:t>
      </w:r>
    </w:p>
    <w:tbl>
      <w:tblPr>
        <w:tblW w:w="7300" w:type="dxa"/>
        <w:jc w:val="center"/>
        <w:tblInd w:w="93" w:type="dxa"/>
        <w:tblLook w:val="04A0"/>
      </w:tblPr>
      <w:tblGrid>
        <w:gridCol w:w="1100"/>
        <w:gridCol w:w="1200"/>
        <w:gridCol w:w="1172"/>
        <w:gridCol w:w="1240"/>
        <w:gridCol w:w="1194"/>
        <w:gridCol w:w="1560"/>
      </w:tblGrid>
      <w:tr w:rsidR="00FA5F68" w:rsidRPr="00FA5F68" w:rsidTr="006F3904">
        <w:trPr>
          <w:trHeight w:val="1020"/>
          <w:jc w:val="center"/>
        </w:trPr>
        <w:tc>
          <w:tcPr>
            <w:tcW w:w="1100" w:type="dxa"/>
            <w:vMerge w:val="restart"/>
            <w:tcBorders>
              <w:top w:val="single" w:sz="4" w:space="0" w:color="auto"/>
              <w:left w:val="single" w:sz="4" w:space="0" w:color="auto"/>
              <w:bottom w:val="single" w:sz="4" w:space="0" w:color="000000"/>
              <w:right w:val="single" w:sz="4" w:space="0" w:color="FFFFFF"/>
            </w:tcBorders>
            <w:shd w:val="clear" w:color="000000" w:fill="1F497D"/>
            <w:vAlign w:val="center"/>
            <w:hideMark/>
          </w:tcPr>
          <w:p w:rsidR="00FA5F68" w:rsidRPr="00FA5F68" w:rsidRDefault="00FA5F68" w:rsidP="00254844">
            <w:pPr>
              <w:keepNext/>
              <w:spacing w:after="0" w:line="240" w:lineRule="auto"/>
              <w:jc w:val="center"/>
              <w:rPr>
                <w:rFonts w:ascii="Arial" w:eastAsia="Times New Roman" w:hAnsi="Arial" w:cs="Arial"/>
                <w:b/>
                <w:bCs/>
                <w:color w:val="FFFFFF"/>
                <w:sz w:val="20"/>
                <w:szCs w:val="20"/>
              </w:rPr>
            </w:pPr>
            <w:r w:rsidRPr="00FA5F68">
              <w:rPr>
                <w:rFonts w:ascii="Arial" w:eastAsia="Times New Roman" w:hAnsi="Arial" w:cs="Arial"/>
                <w:b/>
                <w:bCs/>
                <w:color w:val="FFFFFF"/>
                <w:sz w:val="20"/>
                <w:szCs w:val="20"/>
              </w:rPr>
              <w:t>Month</w:t>
            </w:r>
          </w:p>
        </w:tc>
        <w:tc>
          <w:tcPr>
            <w:tcW w:w="120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FA5F68" w:rsidRPr="00FA5F68" w:rsidRDefault="00FA5F68" w:rsidP="00254844">
            <w:pPr>
              <w:keepNext/>
              <w:spacing w:after="0" w:line="240" w:lineRule="auto"/>
              <w:jc w:val="center"/>
              <w:rPr>
                <w:rFonts w:ascii="Arial" w:eastAsia="Times New Roman" w:hAnsi="Arial" w:cs="Arial"/>
                <w:b/>
                <w:bCs/>
                <w:color w:val="FFFFFF"/>
                <w:sz w:val="20"/>
                <w:szCs w:val="20"/>
              </w:rPr>
            </w:pPr>
            <w:r w:rsidRPr="00FA5F68">
              <w:rPr>
                <w:rFonts w:ascii="Arial" w:eastAsia="Times New Roman" w:hAnsi="Arial" w:cs="Arial"/>
                <w:b/>
                <w:bCs/>
                <w:color w:val="FFFFFF"/>
                <w:sz w:val="20"/>
                <w:szCs w:val="20"/>
              </w:rPr>
              <w:t>Reference Load (kW)</w:t>
            </w:r>
          </w:p>
        </w:tc>
        <w:tc>
          <w:tcPr>
            <w:tcW w:w="112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FA5F68" w:rsidRPr="00FA5F68" w:rsidRDefault="00FA5F68" w:rsidP="00254844">
            <w:pPr>
              <w:keepNext/>
              <w:spacing w:after="0" w:line="240" w:lineRule="auto"/>
              <w:jc w:val="center"/>
              <w:rPr>
                <w:rFonts w:ascii="Arial" w:eastAsia="Times New Roman" w:hAnsi="Arial" w:cs="Arial"/>
                <w:b/>
                <w:bCs/>
                <w:color w:val="FFFFFF"/>
                <w:sz w:val="20"/>
                <w:szCs w:val="20"/>
              </w:rPr>
            </w:pPr>
            <w:r w:rsidRPr="00FA5F68">
              <w:rPr>
                <w:rFonts w:ascii="Arial" w:eastAsia="Times New Roman" w:hAnsi="Arial" w:cs="Arial"/>
                <w:b/>
                <w:bCs/>
                <w:color w:val="FFFFFF"/>
                <w:sz w:val="20"/>
                <w:szCs w:val="20"/>
              </w:rPr>
              <w:t>Estimated Load with DR (kW)</w:t>
            </w:r>
          </w:p>
        </w:tc>
        <w:tc>
          <w:tcPr>
            <w:tcW w:w="124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FA5F68" w:rsidRPr="00FA5F68" w:rsidRDefault="00FA5F68" w:rsidP="00254844">
            <w:pPr>
              <w:keepNext/>
              <w:spacing w:after="0" w:line="240" w:lineRule="auto"/>
              <w:jc w:val="center"/>
              <w:rPr>
                <w:rFonts w:ascii="Arial" w:eastAsia="Times New Roman" w:hAnsi="Arial" w:cs="Arial"/>
                <w:b/>
                <w:bCs/>
                <w:color w:val="FFFFFF"/>
                <w:sz w:val="20"/>
                <w:szCs w:val="20"/>
              </w:rPr>
            </w:pPr>
            <w:r w:rsidRPr="00FA5F68">
              <w:rPr>
                <w:rFonts w:ascii="Arial" w:eastAsia="Times New Roman" w:hAnsi="Arial" w:cs="Arial"/>
                <w:b/>
                <w:bCs/>
                <w:color w:val="FFFFFF"/>
                <w:sz w:val="20"/>
                <w:szCs w:val="20"/>
              </w:rPr>
              <w:t>Load Impact (kW)</w:t>
            </w:r>
          </w:p>
        </w:tc>
        <w:tc>
          <w:tcPr>
            <w:tcW w:w="108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FA5F68" w:rsidRPr="00FA5F68" w:rsidRDefault="00FA5F68" w:rsidP="00254844">
            <w:pPr>
              <w:keepNext/>
              <w:spacing w:after="0" w:line="240" w:lineRule="auto"/>
              <w:jc w:val="center"/>
              <w:rPr>
                <w:rFonts w:ascii="Arial" w:eastAsia="Times New Roman" w:hAnsi="Arial" w:cs="Arial"/>
                <w:b/>
                <w:bCs/>
                <w:color w:val="FFFFFF"/>
                <w:sz w:val="20"/>
                <w:szCs w:val="20"/>
              </w:rPr>
            </w:pPr>
            <w:r w:rsidRPr="00FA5F68">
              <w:rPr>
                <w:rFonts w:ascii="Arial" w:eastAsia="Times New Roman" w:hAnsi="Arial" w:cs="Arial"/>
                <w:b/>
                <w:bCs/>
                <w:color w:val="FFFFFF"/>
                <w:sz w:val="20"/>
                <w:szCs w:val="20"/>
              </w:rPr>
              <w:t>Percent Reduction (%)</w:t>
            </w:r>
          </w:p>
        </w:tc>
        <w:tc>
          <w:tcPr>
            <w:tcW w:w="1560" w:type="dxa"/>
            <w:vMerge w:val="restart"/>
            <w:tcBorders>
              <w:top w:val="single" w:sz="4" w:space="0" w:color="auto"/>
              <w:left w:val="single" w:sz="4" w:space="0" w:color="FFFFFF"/>
              <w:bottom w:val="single" w:sz="4" w:space="0" w:color="000000"/>
              <w:right w:val="single" w:sz="4" w:space="0" w:color="auto"/>
            </w:tcBorders>
            <w:shd w:val="clear" w:color="000000" w:fill="1F497D"/>
            <w:vAlign w:val="center"/>
            <w:hideMark/>
          </w:tcPr>
          <w:p w:rsidR="00FA5F68" w:rsidRPr="00FA5F68" w:rsidRDefault="00FA5F68" w:rsidP="00254844">
            <w:pPr>
              <w:keepNext/>
              <w:spacing w:after="0" w:line="240" w:lineRule="auto"/>
              <w:jc w:val="center"/>
              <w:rPr>
                <w:rFonts w:ascii="Arial" w:eastAsia="Times New Roman" w:hAnsi="Arial" w:cs="Arial"/>
                <w:b/>
                <w:bCs/>
                <w:color w:val="FFFFFF"/>
                <w:sz w:val="20"/>
                <w:szCs w:val="20"/>
              </w:rPr>
            </w:pPr>
            <w:r w:rsidRPr="00FA5F68">
              <w:rPr>
                <w:rFonts w:ascii="Arial" w:eastAsia="Times New Roman" w:hAnsi="Arial" w:cs="Arial"/>
                <w:b/>
                <w:bCs/>
                <w:color w:val="FFFFFF"/>
                <w:sz w:val="20"/>
                <w:szCs w:val="20"/>
              </w:rPr>
              <w:t>Average Temp.  (°F)</w:t>
            </w:r>
          </w:p>
        </w:tc>
      </w:tr>
      <w:tr w:rsidR="00FA5F68" w:rsidRPr="00FA5F68" w:rsidTr="006F3904">
        <w:trPr>
          <w:trHeight w:val="300"/>
          <w:jc w:val="center"/>
        </w:trPr>
        <w:tc>
          <w:tcPr>
            <w:tcW w:w="1100" w:type="dxa"/>
            <w:vMerge/>
            <w:tcBorders>
              <w:top w:val="single" w:sz="4" w:space="0" w:color="auto"/>
              <w:left w:val="single" w:sz="4" w:space="0" w:color="auto"/>
              <w:bottom w:val="single" w:sz="4" w:space="0" w:color="000000"/>
              <w:right w:val="single" w:sz="4" w:space="0" w:color="FFFFFF"/>
            </w:tcBorders>
            <w:vAlign w:val="center"/>
            <w:hideMark/>
          </w:tcPr>
          <w:p w:rsidR="00FA5F68" w:rsidRPr="00FA5F68" w:rsidRDefault="00FA5F68" w:rsidP="00254844">
            <w:pPr>
              <w:keepNext/>
              <w:spacing w:after="0" w:line="240" w:lineRule="auto"/>
              <w:rPr>
                <w:rFonts w:ascii="Arial" w:eastAsia="Times New Roman" w:hAnsi="Arial" w:cs="Arial"/>
                <w:b/>
                <w:bCs/>
                <w:color w:val="FFFFFF"/>
                <w:sz w:val="20"/>
                <w:szCs w:val="20"/>
              </w:rPr>
            </w:pPr>
          </w:p>
        </w:tc>
        <w:tc>
          <w:tcPr>
            <w:tcW w:w="1200" w:type="dxa"/>
            <w:vMerge/>
            <w:tcBorders>
              <w:top w:val="single" w:sz="4" w:space="0" w:color="auto"/>
              <w:left w:val="single" w:sz="4" w:space="0" w:color="FFFFFF"/>
              <w:bottom w:val="single" w:sz="4" w:space="0" w:color="000000"/>
              <w:right w:val="single" w:sz="4" w:space="0" w:color="FFFFFF"/>
            </w:tcBorders>
            <w:vAlign w:val="center"/>
            <w:hideMark/>
          </w:tcPr>
          <w:p w:rsidR="00FA5F68" w:rsidRPr="00FA5F68" w:rsidRDefault="00FA5F68" w:rsidP="00254844">
            <w:pPr>
              <w:keepNext/>
              <w:spacing w:after="0" w:line="240" w:lineRule="auto"/>
              <w:rPr>
                <w:rFonts w:ascii="Arial" w:eastAsia="Times New Roman" w:hAnsi="Arial" w:cs="Arial"/>
                <w:b/>
                <w:bCs/>
                <w:color w:val="FFFFFF"/>
                <w:sz w:val="20"/>
                <w:szCs w:val="20"/>
              </w:rPr>
            </w:pPr>
          </w:p>
        </w:tc>
        <w:tc>
          <w:tcPr>
            <w:tcW w:w="1120" w:type="dxa"/>
            <w:vMerge/>
            <w:tcBorders>
              <w:top w:val="single" w:sz="4" w:space="0" w:color="auto"/>
              <w:left w:val="single" w:sz="4" w:space="0" w:color="FFFFFF"/>
              <w:bottom w:val="single" w:sz="4" w:space="0" w:color="000000"/>
              <w:right w:val="single" w:sz="4" w:space="0" w:color="FFFFFF"/>
            </w:tcBorders>
            <w:vAlign w:val="center"/>
            <w:hideMark/>
          </w:tcPr>
          <w:p w:rsidR="00FA5F68" w:rsidRPr="00FA5F68" w:rsidRDefault="00FA5F68" w:rsidP="00254844">
            <w:pPr>
              <w:keepNext/>
              <w:spacing w:after="0" w:line="240" w:lineRule="auto"/>
              <w:rPr>
                <w:rFonts w:ascii="Arial" w:eastAsia="Times New Roman" w:hAnsi="Arial" w:cs="Arial"/>
                <w:b/>
                <w:bCs/>
                <w:color w:val="FFFFFF"/>
                <w:sz w:val="20"/>
                <w:szCs w:val="20"/>
              </w:rPr>
            </w:pPr>
          </w:p>
        </w:tc>
        <w:tc>
          <w:tcPr>
            <w:tcW w:w="1240" w:type="dxa"/>
            <w:vMerge/>
            <w:tcBorders>
              <w:top w:val="single" w:sz="4" w:space="0" w:color="auto"/>
              <w:left w:val="single" w:sz="4" w:space="0" w:color="FFFFFF"/>
              <w:bottom w:val="single" w:sz="4" w:space="0" w:color="000000"/>
              <w:right w:val="single" w:sz="4" w:space="0" w:color="FFFFFF"/>
            </w:tcBorders>
            <w:vAlign w:val="center"/>
            <w:hideMark/>
          </w:tcPr>
          <w:p w:rsidR="00FA5F68" w:rsidRPr="00FA5F68" w:rsidRDefault="00FA5F68" w:rsidP="00254844">
            <w:pPr>
              <w:keepNext/>
              <w:spacing w:after="0" w:line="240" w:lineRule="auto"/>
              <w:rPr>
                <w:rFonts w:ascii="Arial" w:eastAsia="Times New Roman" w:hAnsi="Arial" w:cs="Arial"/>
                <w:b/>
                <w:bCs/>
                <w:color w:val="FFFFFF"/>
                <w:sz w:val="20"/>
                <w:szCs w:val="20"/>
              </w:rPr>
            </w:pPr>
          </w:p>
        </w:tc>
        <w:tc>
          <w:tcPr>
            <w:tcW w:w="1080" w:type="dxa"/>
            <w:vMerge/>
            <w:tcBorders>
              <w:top w:val="single" w:sz="4" w:space="0" w:color="auto"/>
              <w:left w:val="single" w:sz="4" w:space="0" w:color="FFFFFF"/>
              <w:bottom w:val="single" w:sz="4" w:space="0" w:color="000000"/>
              <w:right w:val="single" w:sz="4" w:space="0" w:color="FFFFFF"/>
            </w:tcBorders>
            <w:vAlign w:val="center"/>
            <w:hideMark/>
          </w:tcPr>
          <w:p w:rsidR="00FA5F68" w:rsidRPr="00FA5F68" w:rsidRDefault="00FA5F68" w:rsidP="00254844">
            <w:pPr>
              <w:keepNext/>
              <w:spacing w:after="0" w:line="240" w:lineRule="auto"/>
              <w:rPr>
                <w:rFonts w:ascii="Arial" w:eastAsia="Times New Roman" w:hAnsi="Arial" w:cs="Arial"/>
                <w:b/>
                <w:bCs/>
                <w:color w:val="FFFFFF"/>
                <w:sz w:val="20"/>
                <w:szCs w:val="20"/>
              </w:rPr>
            </w:pPr>
          </w:p>
        </w:tc>
        <w:tc>
          <w:tcPr>
            <w:tcW w:w="1560" w:type="dxa"/>
            <w:vMerge/>
            <w:tcBorders>
              <w:top w:val="single" w:sz="4" w:space="0" w:color="auto"/>
              <w:left w:val="single" w:sz="4" w:space="0" w:color="FFFFFF"/>
              <w:bottom w:val="single" w:sz="4" w:space="0" w:color="000000"/>
              <w:right w:val="single" w:sz="4" w:space="0" w:color="auto"/>
            </w:tcBorders>
            <w:vAlign w:val="center"/>
            <w:hideMark/>
          </w:tcPr>
          <w:p w:rsidR="00FA5F68" w:rsidRPr="00FA5F68" w:rsidRDefault="00FA5F68" w:rsidP="00254844">
            <w:pPr>
              <w:keepNext/>
              <w:spacing w:after="0" w:line="240" w:lineRule="auto"/>
              <w:rPr>
                <w:rFonts w:ascii="Arial" w:eastAsia="Times New Roman" w:hAnsi="Arial" w:cs="Arial"/>
                <w:b/>
                <w:bCs/>
                <w:color w:val="FFFFFF"/>
                <w:sz w:val="20"/>
                <w:szCs w:val="20"/>
              </w:rPr>
            </w:pP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January</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1.34</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1.21</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0.12</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9</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45</w:t>
            </w: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February</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1.16</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1.06</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0.10</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8</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49</w:t>
            </w: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March</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0.99</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0.87</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0.12</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12</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52</w:t>
            </w: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April</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1.00</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0.90</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0.10</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10</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72</w:t>
            </w: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May</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1.31</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1.12</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0.19</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15</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74</w:t>
            </w: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June</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1.53</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1.32</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0.21</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14</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76</w:t>
            </w: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July</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1.78</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1.68</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0.10</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5</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78</w:t>
            </w: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August</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1.99</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1.81</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0.19</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9</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79</w:t>
            </w: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September</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1.37</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1.15</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0.22</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16</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71</w:t>
            </w:r>
          </w:p>
        </w:tc>
      </w:tr>
      <w:tr w:rsidR="00FA5F68" w:rsidRPr="00FA5F68" w:rsidTr="008D24B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October</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1.58</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1.29</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0.29</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19</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77</w:t>
            </w:r>
          </w:p>
        </w:tc>
      </w:tr>
      <w:tr w:rsidR="00FA5F68" w:rsidRPr="00FA5F68" w:rsidTr="008D24B3">
        <w:trPr>
          <w:trHeight w:val="300"/>
          <w:jc w:val="center"/>
        </w:trPr>
        <w:tc>
          <w:tcPr>
            <w:tcW w:w="11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November</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1.10</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1.07</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0.03</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2</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52</w:t>
            </w:r>
          </w:p>
        </w:tc>
      </w:tr>
      <w:tr w:rsidR="00FA5F68" w:rsidRPr="00FA5F68" w:rsidTr="008D24B3">
        <w:trPr>
          <w:trHeight w:val="300"/>
          <w:jc w:val="center"/>
        </w:trPr>
        <w:tc>
          <w:tcPr>
            <w:tcW w:w="1100" w:type="dxa"/>
            <w:tcBorders>
              <w:top w:val="single" w:sz="4" w:space="0" w:color="auto"/>
              <w:left w:val="single" w:sz="4" w:space="0" w:color="auto"/>
              <w:bottom w:val="nil"/>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December</w:t>
            </w:r>
          </w:p>
        </w:tc>
        <w:tc>
          <w:tcPr>
            <w:tcW w:w="120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1.16</w:t>
            </w:r>
          </w:p>
        </w:tc>
        <w:tc>
          <w:tcPr>
            <w:tcW w:w="112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1.12</w:t>
            </w:r>
          </w:p>
        </w:tc>
        <w:tc>
          <w:tcPr>
            <w:tcW w:w="124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0.04</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color w:val="000000"/>
                <w:sz w:val="18"/>
                <w:szCs w:val="18"/>
              </w:rPr>
            </w:pPr>
            <w:r w:rsidRPr="00FA5F68">
              <w:rPr>
                <w:rFonts w:ascii="Arial" w:eastAsia="Times New Roman" w:hAnsi="Arial" w:cs="Arial"/>
                <w:color w:val="000000"/>
                <w:sz w:val="18"/>
                <w:szCs w:val="18"/>
              </w:rPr>
              <w:t>3</w:t>
            </w:r>
          </w:p>
        </w:tc>
        <w:tc>
          <w:tcPr>
            <w:tcW w:w="1560" w:type="dxa"/>
            <w:tcBorders>
              <w:top w:val="nil"/>
              <w:left w:val="nil"/>
              <w:bottom w:val="single" w:sz="4" w:space="0" w:color="auto"/>
              <w:right w:val="single" w:sz="4" w:space="0" w:color="auto"/>
            </w:tcBorders>
            <w:shd w:val="clear" w:color="auto" w:fill="auto"/>
            <w:noWrap/>
            <w:vAlign w:val="center"/>
            <w:hideMark/>
          </w:tcPr>
          <w:p w:rsidR="00FA5F68" w:rsidRPr="00FA5F68" w:rsidRDefault="00FA5F68" w:rsidP="00254844">
            <w:pPr>
              <w:keepNext/>
              <w:spacing w:after="0" w:line="240" w:lineRule="auto"/>
              <w:jc w:val="center"/>
              <w:rPr>
                <w:rFonts w:ascii="Calibri" w:eastAsia="Times New Roman" w:hAnsi="Calibri" w:cs="Times New Roman"/>
                <w:color w:val="000000"/>
              </w:rPr>
            </w:pPr>
            <w:r w:rsidRPr="00FA5F68">
              <w:rPr>
                <w:rFonts w:ascii="Calibri" w:eastAsia="Times New Roman" w:hAnsi="Calibri" w:cs="Times New Roman"/>
                <w:color w:val="000000"/>
              </w:rPr>
              <w:t>46</w:t>
            </w:r>
          </w:p>
        </w:tc>
      </w:tr>
      <w:tr w:rsidR="00FA5F68" w:rsidRPr="00FA5F68" w:rsidTr="006F3904">
        <w:trPr>
          <w:trHeight w:val="315"/>
          <w:jc w:val="center"/>
        </w:trPr>
        <w:tc>
          <w:tcPr>
            <w:tcW w:w="11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Average</w:t>
            </w:r>
          </w:p>
        </w:tc>
        <w:tc>
          <w:tcPr>
            <w:tcW w:w="120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1.36</w:t>
            </w:r>
          </w:p>
        </w:tc>
        <w:tc>
          <w:tcPr>
            <w:tcW w:w="112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1.22</w:t>
            </w:r>
          </w:p>
        </w:tc>
        <w:tc>
          <w:tcPr>
            <w:tcW w:w="124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0.14</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10</w:t>
            </w:r>
          </w:p>
        </w:tc>
        <w:tc>
          <w:tcPr>
            <w:tcW w:w="156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64</w:t>
            </w: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Summer</w:t>
            </w:r>
          </w:p>
        </w:tc>
        <w:tc>
          <w:tcPr>
            <w:tcW w:w="120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1.59</w:t>
            </w:r>
          </w:p>
        </w:tc>
        <w:tc>
          <w:tcPr>
            <w:tcW w:w="112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1.39</w:t>
            </w:r>
          </w:p>
        </w:tc>
        <w:tc>
          <w:tcPr>
            <w:tcW w:w="124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0.20</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13</w:t>
            </w:r>
          </w:p>
        </w:tc>
        <w:tc>
          <w:tcPr>
            <w:tcW w:w="156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254844">
            <w:pPr>
              <w:keepNext/>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76</w:t>
            </w:r>
          </w:p>
        </w:tc>
      </w:tr>
      <w:tr w:rsidR="00FA5F68" w:rsidRPr="00FA5F68" w:rsidTr="006F3904">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FA5F68" w:rsidRPr="00FA5F68" w:rsidRDefault="00FA5F68" w:rsidP="00FA5F68">
            <w:pPr>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Winter</w:t>
            </w:r>
          </w:p>
        </w:tc>
        <w:tc>
          <w:tcPr>
            <w:tcW w:w="120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FA5F68">
            <w:pPr>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1.12</w:t>
            </w:r>
          </w:p>
        </w:tc>
        <w:tc>
          <w:tcPr>
            <w:tcW w:w="112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FA5F68">
            <w:pPr>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1.04</w:t>
            </w:r>
          </w:p>
        </w:tc>
        <w:tc>
          <w:tcPr>
            <w:tcW w:w="124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FA5F68">
            <w:pPr>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0.08</w:t>
            </w:r>
          </w:p>
        </w:tc>
        <w:tc>
          <w:tcPr>
            <w:tcW w:w="108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FA5F68">
            <w:pPr>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7</w:t>
            </w:r>
          </w:p>
        </w:tc>
        <w:tc>
          <w:tcPr>
            <w:tcW w:w="1560" w:type="dxa"/>
            <w:tcBorders>
              <w:top w:val="nil"/>
              <w:left w:val="nil"/>
              <w:bottom w:val="single" w:sz="4" w:space="0" w:color="auto"/>
              <w:right w:val="single" w:sz="4" w:space="0" w:color="auto"/>
            </w:tcBorders>
            <w:shd w:val="clear" w:color="000000" w:fill="FFFFFF"/>
            <w:noWrap/>
            <w:vAlign w:val="center"/>
            <w:hideMark/>
          </w:tcPr>
          <w:p w:rsidR="00FA5F68" w:rsidRPr="00FA5F68" w:rsidRDefault="00FA5F68" w:rsidP="00FA5F68">
            <w:pPr>
              <w:spacing w:after="0" w:line="240" w:lineRule="auto"/>
              <w:jc w:val="center"/>
              <w:rPr>
                <w:rFonts w:ascii="Arial" w:eastAsia="Times New Roman" w:hAnsi="Arial" w:cs="Arial"/>
                <w:b/>
                <w:bCs/>
                <w:color w:val="000000"/>
                <w:sz w:val="18"/>
                <w:szCs w:val="18"/>
              </w:rPr>
            </w:pPr>
            <w:r w:rsidRPr="00FA5F68">
              <w:rPr>
                <w:rFonts w:ascii="Arial" w:eastAsia="Times New Roman" w:hAnsi="Arial" w:cs="Arial"/>
                <w:b/>
                <w:bCs/>
                <w:color w:val="000000"/>
                <w:sz w:val="18"/>
                <w:szCs w:val="18"/>
              </w:rPr>
              <w:t>53</w:t>
            </w:r>
          </w:p>
        </w:tc>
      </w:tr>
    </w:tbl>
    <w:p w:rsidR="00A53378" w:rsidRPr="00612923" w:rsidRDefault="00A53378" w:rsidP="00A53378">
      <w:pPr>
        <w:pStyle w:val="BodyParaAfterTableFigure"/>
      </w:pPr>
      <w:r w:rsidRPr="00612923">
        <w:t>TOU load reductions were greater over the summer (May-Oct) than the winter (Nov-Apr), when the</w:t>
      </w:r>
      <w:r w:rsidR="00A55571" w:rsidRPr="00612923">
        <w:t> </w:t>
      </w:r>
      <w:r w:rsidRPr="00612923">
        <w:t>difference between peak and off-peak prices is the largest.  The reductions were larger both in absolute and percentage terms.  During the summer, the average load reduction was 0.20 kW, or 12.6%.  Average load impacts for TOU are consistent with the ex post estimates from 2012, although the available evaluation methods do not allow for highly precise comparisons.</w:t>
      </w:r>
    </w:p>
    <w:p w:rsidR="00A53378" w:rsidRPr="00612923" w:rsidRDefault="00A53378" w:rsidP="00A53378">
      <w:pPr>
        <w:pStyle w:val="BodyParagraph"/>
      </w:pPr>
      <w:r w:rsidRPr="00612923">
        <w:t>One other key finding is that given their price response, about 76% of customers enrolled on TOU rate saved in comparison to what their electricity bill would have been with flat rates.</w:t>
      </w:r>
    </w:p>
    <w:p w:rsidR="00A53378" w:rsidRPr="00612923" w:rsidRDefault="00A53378" w:rsidP="00A53378">
      <w:pPr>
        <w:pStyle w:val="Heading2"/>
      </w:pPr>
      <w:bookmarkStart w:id="12" w:name="_Toc349193874"/>
      <w:bookmarkStart w:id="13" w:name="_Toc352567289"/>
      <w:r w:rsidRPr="00612923">
        <w:t>TOU Ex Ante Evaluation Summary</w:t>
      </w:r>
      <w:bookmarkEnd w:id="12"/>
      <w:bookmarkEnd w:id="13"/>
    </w:p>
    <w:p w:rsidR="00A53378" w:rsidRPr="00612923" w:rsidRDefault="00A53378" w:rsidP="00A53378">
      <w:pPr>
        <w:pStyle w:val="BodyParagraph"/>
      </w:pPr>
      <w:r w:rsidRPr="00612923">
        <w:t xml:space="preserve">As with the ex post evaluation, the ex ante evaluation only includes non-net metered E-6 and E-7 customers.  Because E-7 is a closed rate, no new customers will join during the ex ante forecast period, and the only factor affecting the population is attrition.  E-6 enrollment </w:t>
      </w:r>
      <w:r w:rsidR="004F50A8">
        <w:t xml:space="preserve">allows new enrollment and </w:t>
      </w:r>
      <w:r w:rsidRPr="00612923">
        <w:t xml:space="preserve">is expected to grow </w:t>
      </w:r>
      <w:r w:rsidR="004F50A8">
        <w:t xml:space="preserve">modestly. Based on 2011 and 2012 enrollment data, for E-6 and E-7 combined, the growth rate is forecasted to be 2.2% per year and the attrition rate is expected to be 0.13% </w:t>
      </w:r>
      <w:r w:rsidRPr="00612923">
        <w:t>per year</w:t>
      </w:r>
      <w:r w:rsidR="004F50A8">
        <w:t>. And</w:t>
      </w:r>
      <w:r w:rsidRPr="00612923">
        <w:t xml:space="preserve"> we have assumed the fraction of non-net-metered E-6 customers out of all E-6 customers will remain constant in the future.</w:t>
      </w:r>
    </w:p>
    <w:p w:rsidR="00A53378" w:rsidRPr="00612923" w:rsidRDefault="00A53378" w:rsidP="00A53378">
      <w:pPr>
        <w:pStyle w:val="BodyParagraph"/>
      </w:pPr>
      <w:r w:rsidRPr="00612923">
        <w:t>Table 1-5 shows a summary of the ex ante estimates for TOU.  It shows the load impacts for the 1</w:t>
      </w:r>
      <w:r w:rsidR="00A55571" w:rsidRPr="00612923">
        <w:noBreakHyphen/>
      </w:r>
      <w:r w:rsidRPr="00612923">
        <w:t>in</w:t>
      </w:r>
      <w:r w:rsidR="00A55571" w:rsidRPr="00612923">
        <w:noBreakHyphen/>
      </w:r>
      <w:r w:rsidRPr="00612923">
        <w:t xml:space="preserve">2 and 1-in-10 annual peak days, which occur in June and July, respectively.  </w:t>
      </w:r>
      <w:r w:rsidR="00231334">
        <w:t xml:space="preserve">Impacts remain somewhat constant because enrollment isn’t expected to change drastically over the next ten years.  </w:t>
      </w:r>
    </w:p>
    <w:p w:rsidR="00A53378" w:rsidRPr="00612923" w:rsidRDefault="00A53378" w:rsidP="00A53378">
      <w:pPr>
        <w:spacing w:after="0" w:line="240" w:lineRule="auto"/>
        <w:rPr>
          <w:rFonts w:ascii="Verdana" w:hAnsi="Verdana"/>
          <w:sz w:val="18"/>
        </w:rPr>
      </w:pPr>
    </w:p>
    <w:p w:rsidR="00A53378" w:rsidRDefault="00A53378" w:rsidP="00A53378">
      <w:pPr>
        <w:pStyle w:val="TableFigureCaption"/>
      </w:pPr>
      <w:r w:rsidRPr="00612923">
        <w:t>Table 1</w:t>
      </w:r>
      <w:r w:rsidRPr="00612923">
        <w:noBreakHyphen/>
        <w:t>5: Summary of Aggregate Ex Ante Load Impacts for Non-net-metered Residential TOU by Year (Average 1 PM – 6 PM Peak Period Reduction on the Annual System Peak Day)</w:t>
      </w:r>
    </w:p>
    <w:tbl>
      <w:tblPr>
        <w:tblW w:w="8200" w:type="dxa"/>
        <w:jc w:val="center"/>
        <w:tblInd w:w="93" w:type="dxa"/>
        <w:tblLook w:val="04A0"/>
      </w:tblPr>
      <w:tblGrid>
        <w:gridCol w:w="1156"/>
        <w:gridCol w:w="1140"/>
        <w:gridCol w:w="1120"/>
        <w:gridCol w:w="1087"/>
        <w:gridCol w:w="980"/>
        <w:gridCol w:w="980"/>
        <w:gridCol w:w="1096"/>
        <w:gridCol w:w="980"/>
      </w:tblGrid>
      <w:tr w:rsidR="00231334" w:rsidRPr="00096C30" w:rsidTr="00231334">
        <w:trPr>
          <w:trHeight w:val="720"/>
          <w:jc w:val="center"/>
        </w:trPr>
        <w:tc>
          <w:tcPr>
            <w:tcW w:w="1040"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231334" w:rsidRPr="00096C30" w:rsidRDefault="00231334"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Weather Conditions</w:t>
            </w:r>
          </w:p>
        </w:tc>
        <w:tc>
          <w:tcPr>
            <w:tcW w:w="1140" w:type="dxa"/>
            <w:tcBorders>
              <w:top w:val="single" w:sz="4" w:space="0" w:color="auto"/>
              <w:left w:val="nil"/>
              <w:bottom w:val="single" w:sz="4" w:space="0" w:color="auto"/>
              <w:right w:val="single" w:sz="4" w:space="0" w:color="FFFFFF"/>
            </w:tcBorders>
            <w:shd w:val="clear" w:color="000000" w:fill="1F497D"/>
            <w:vAlign w:val="center"/>
            <w:hideMark/>
          </w:tcPr>
          <w:p w:rsidR="00231334" w:rsidRPr="00096C30" w:rsidRDefault="00231334"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Year</w:t>
            </w:r>
          </w:p>
        </w:tc>
        <w:tc>
          <w:tcPr>
            <w:tcW w:w="1120" w:type="dxa"/>
            <w:tcBorders>
              <w:top w:val="single" w:sz="4" w:space="0" w:color="auto"/>
              <w:left w:val="nil"/>
              <w:bottom w:val="single" w:sz="4" w:space="0" w:color="auto"/>
              <w:right w:val="single" w:sz="4" w:space="0" w:color="FFFFFF"/>
            </w:tcBorders>
            <w:shd w:val="clear" w:color="000000" w:fill="1F497D"/>
            <w:vAlign w:val="center"/>
            <w:hideMark/>
          </w:tcPr>
          <w:p w:rsidR="00231334" w:rsidRPr="00096C30" w:rsidRDefault="00231334"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Accounts</w:t>
            </w:r>
          </w:p>
        </w:tc>
        <w:tc>
          <w:tcPr>
            <w:tcW w:w="980" w:type="dxa"/>
            <w:tcBorders>
              <w:top w:val="single" w:sz="4" w:space="0" w:color="auto"/>
              <w:left w:val="nil"/>
              <w:bottom w:val="single" w:sz="4" w:space="0" w:color="auto"/>
              <w:right w:val="single" w:sz="4" w:space="0" w:color="FFFFFF"/>
            </w:tcBorders>
            <w:shd w:val="clear" w:color="000000" w:fill="1F497D"/>
            <w:vAlign w:val="center"/>
            <w:hideMark/>
          </w:tcPr>
          <w:p w:rsidR="00231334" w:rsidRPr="00096C30" w:rsidRDefault="00231334"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Reference Load (MW)</w:t>
            </w:r>
          </w:p>
        </w:tc>
        <w:tc>
          <w:tcPr>
            <w:tcW w:w="980" w:type="dxa"/>
            <w:tcBorders>
              <w:top w:val="single" w:sz="4" w:space="0" w:color="auto"/>
              <w:left w:val="nil"/>
              <w:bottom w:val="single" w:sz="4" w:space="0" w:color="auto"/>
              <w:right w:val="single" w:sz="4" w:space="0" w:color="FFFFFF"/>
            </w:tcBorders>
            <w:shd w:val="clear" w:color="000000" w:fill="1F497D"/>
            <w:vAlign w:val="center"/>
            <w:hideMark/>
          </w:tcPr>
          <w:p w:rsidR="00231334" w:rsidRPr="00096C30" w:rsidRDefault="00231334"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Load with DR (MW)</w:t>
            </w:r>
          </w:p>
        </w:tc>
        <w:tc>
          <w:tcPr>
            <w:tcW w:w="980" w:type="dxa"/>
            <w:tcBorders>
              <w:top w:val="single" w:sz="4" w:space="0" w:color="auto"/>
              <w:left w:val="nil"/>
              <w:bottom w:val="single" w:sz="4" w:space="0" w:color="auto"/>
              <w:right w:val="single" w:sz="4" w:space="0" w:color="FFFFFF"/>
            </w:tcBorders>
            <w:shd w:val="clear" w:color="000000" w:fill="1F497D"/>
            <w:vAlign w:val="center"/>
            <w:hideMark/>
          </w:tcPr>
          <w:p w:rsidR="00231334" w:rsidRPr="00096C30" w:rsidRDefault="00231334"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Load Impact (MW)</w:t>
            </w:r>
          </w:p>
        </w:tc>
        <w:tc>
          <w:tcPr>
            <w:tcW w:w="980" w:type="dxa"/>
            <w:tcBorders>
              <w:top w:val="single" w:sz="4" w:space="0" w:color="auto"/>
              <w:left w:val="nil"/>
              <w:bottom w:val="single" w:sz="4" w:space="0" w:color="auto"/>
              <w:right w:val="single" w:sz="4" w:space="0" w:color="FFFFFF"/>
            </w:tcBorders>
            <w:shd w:val="clear" w:color="000000" w:fill="1F497D"/>
            <w:vAlign w:val="center"/>
            <w:hideMark/>
          </w:tcPr>
          <w:p w:rsidR="00231334" w:rsidRPr="00096C30" w:rsidRDefault="00231334" w:rsidP="00231334">
            <w:pPr>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 Load Reduction</w:t>
            </w:r>
          </w:p>
        </w:tc>
        <w:tc>
          <w:tcPr>
            <w:tcW w:w="980" w:type="dxa"/>
            <w:tcBorders>
              <w:top w:val="single" w:sz="4" w:space="0" w:color="auto"/>
              <w:left w:val="nil"/>
              <w:bottom w:val="single" w:sz="4" w:space="0" w:color="auto"/>
              <w:right w:val="single" w:sz="4" w:space="0" w:color="auto"/>
            </w:tcBorders>
            <w:shd w:val="clear" w:color="000000" w:fill="1F497D"/>
            <w:vAlign w:val="center"/>
            <w:hideMark/>
          </w:tcPr>
          <w:p w:rsidR="00231334" w:rsidRPr="00096C30" w:rsidRDefault="00231334" w:rsidP="00231334">
            <w:pPr>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Avg. Temp (°F)</w:t>
            </w:r>
          </w:p>
        </w:tc>
      </w:tr>
      <w:tr w:rsidR="00231334" w:rsidRPr="00096C30" w:rsidTr="00231334">
        <w:trPr>
          <w:trHeight w:val="300"/>
          <w:jc w:val="center"/>
        </w:trPr>
        <w:tc>
          <w:tcPr>
            <w:tcW w:w="10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1-in-2</w:t>
            </w: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2013</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55,796</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117.2</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100.9</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1334" w:rsidRPr="00096C30" w:rsidRDefault="00231334" w:rsidP="00231334">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13.9%</w:t>
            </w:r>
          </w:p>
        </w:tc>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1334" w:rsidRPr="00096C30" w:rsidRDefault="00231334" w:rsidP="00231334">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92</w:t>
            </w: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2014</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55,810</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117.2</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100.9</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2015</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55,826</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117.3</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101.0</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2016</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55,843</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117.3</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101.0</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2017</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55,863</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117.3</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101.0</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2018</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55,884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101.1</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2019</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55,908</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101.1</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2020</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55,934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117.5</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101.2</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2021</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55,962</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117.6</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101.2</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2022</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55,992</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117.6</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101.3</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2023</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56,024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117.7</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101.3</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1-in-10</w:t>
            </w: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2013</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55,796</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128.7</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1334" w:rsidRPr="00096C30" w:rsidRDefault="00231334" w:rsidP="00231334">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14.2%</w:t>
            </w:r>
          </w:p>
        </w:tc>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31334" w:rsidRPr="00096C30" w:rsidRDefault="00231334" w:rsidP="00231334">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95</w:t>
            </w: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2014</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55,810</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128.7</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2015</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55,826</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128.7</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2016</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55,843</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128.8</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110.5</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2017</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55,863</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128.8</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110.5</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2018</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55,884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128.9</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110.6</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2019</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55,908</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128.9</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110.6</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2020</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55,934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129.0</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110.6</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2021</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55,962</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129.0</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110.7</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2022</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55,992</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129.1</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110.8</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r w:rsidR="00231334" w:rsidRPr="00096C30" w:rsidTr="00231334">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31334">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2023</w:t>
            </w:r>
          </w:p>
        </w:tc>
        <w:tc>
          <w:tcPr>
            <w:tcW w:w="112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31334">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56,024</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31334">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129.2</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31334">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110.8</w:t>
            </w:r>
          </w:p>
        </w:tc>
        <w:tc>
          <w:tcPr>
            <w:tcW w:w="980" w:type="dxa"/>
            <w:tcBorders>
              <w:top w:val="nil"/>
              <w:left w:val="nil"/>
              <w:bottom w:val="single" w:sz="4" w:space="0" w:color="auto"/>
              <w:right w:val="single" w:sz="4" w:space="0" w:color="auto"/>
            </w:tcBorders>
            <w:shd w:val="clear" w:color="auto" w:fill="auto"/>
            <w:noWrap/>
            <w:vAlign w:val="center"/>
            <w:hideMark/>
          </w:tcPr>
          <w:p w:rsidR="00231334" w:rsidRPr="00096C30" w:rsidRDefault="00231334" w:rsidP="00231334">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18.4</w:t>
            </w: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231334" w:rsidRPr="00096C30" w:rsidRDefault="00231334" w:rsidP="00231334">
            <w:pPr>
              <w:spacing w:after="0" w:line="240" w:lineRule="auto"/>
              <w:rPr>
                <w:rFonts w:ascii="Calibri" w:eastAsia="Times New Roman" w:hAnsi="Calibri" w:cs="Times New Roman"/>
                <w:color w:val="000000"/>
              </w:rPr>
            </w:pPr>
          </w:p>
        </w:tc>
      </w:tr>
    </w:tbl>
    <w:p w:rsidR="00231334" w:rsidRDefault="00231334" w:rsidP="006F3904">
      <w:pPr>
        <w:pStyle w:val="BodyParaAfterTableFigure"/>
      </w:pPr>
    </w:p>
    <w:p w:rsidR="00231334" w:rsidRPr="00231334" w:rsidRDefault="00231334" w:rsidP="006F3904">
      <w:pPr>
        <w:pStyle w:val="BodyParagraph"/>
      </w:pPr>
    </w:p>
    <w:p w:rsidR="00A53378" w:rsidRPr="00612923" w:rsidRDefault="00A53378" w:rsidP="00A53378">
      <w:pPr>
        <w:pStyle w:val="BodyParaAfterTableFigure"/>
      </w:pPr>
    </w:p>
    <w:p w:rsidR="00A53378" w:rsidRPr="00612923" w:rsidRDefault="00A53378" w:rsidP="00A53378">
      <w:pPr>
        <w:pStyle w:val="BodyParagraph"/>
      </w:pPr>
    </w:p>
    <w:p w:rsidR="00A53378" w:rsidRPr="00612923" w:rsidRDefault="00A53378" w:rsidP="00A53378">
      <w:pPr>
        <w:pStyle w:val="BodyParagraph"/>
        <w:rPr>
          <w:rFonts w:ascii="Arial Bold" w:hAnsi="Arial Bold"/>
          <w:color w:val="433B67"/>
          <w:sz w:val="28"/>
          <w:szCs w:val="28"/>
        </w:rPr>
      </w:pPr>
      <w:r w:rsidRPr="00612923">
        <w:br w:type="page"/>
      </w:r>
    </w:p>
    <w:p w:rsidR="00A53378" w:rsidRPr="00612923" w:rsidRDefault="00A53378" w:rsidP="00A53378">
      <w:pPr>
        <w:pStyle w:val="Heading1"/>
      </w:pPr>
      <w:bookmarkStart w:id="14" w:name="_Toc349193875"/>
      <w:bookmarkStart w:id="15" w:name="_Toc352567290"/>
      <w:r w:rsidRPr="00612923">
        <w:lastRenderedPageBreak/>
        <w:t>Overview of Time-</w:t>
      </w:r>
      <w:r w:rsidR="00A55571" w:rsidRPr="00612923">
        <w:t>v</w:t>
      </w:r>
      <w:r w:rsidRPr="00612923">
        <w:t>arying Tariffs</w:t>
      </w:r>
      <w:bookmarkEnd w:id="14"/>
      <w:bookmarkEnd w:id="15"/>
    </w:p>
    <w:p w:rsidR="00A53378" w:rsidRPr="00612923" w:rsidRDefault="00A53378" w:rsidP="00A53378">
      <w:pPr>
        <w:pStyle w:val="BodyParagraph"/>
      </w:pPr>
      <w:r w:rsidRPr="00612923">
        <w:t>PG&amp;E has offered time</w:t>
      </w:r>
      <w:r w:rsidR="00A55571" w:rsidRPr="00612923">
        <w:t>-</w:t>
      </w:r>
      <w:r w:rsidRPr="00612923">
        <w:t>varying tariffs on a voluntary basis since the early 1980s.  The E-7 tariff was first offered in 1986.  E-7 was targeted at large users with air conditioning (and therefore was not revenue neutral for the average PG&amp;E customer) and succeeded in signing up a relatively large fraction of the target audience.  Enrollment peaked at 130,000 customers in 1995.  New enrollment essentially stopped in 1996 when the California Public Utilities Commission (CPUC) changed the payment policy for the time-of-use meters that were needed to be on the E-7 tariff.  Prior to 1996, the</w:t>
      </w:r>
      <w:r w:rsidR="00A55571" w:rsidRPr="00612923">
        <w:t> </w:t>
      </w:r>
      <w:r w:rsidRPr="00612923">
        <w:t>incremental meter charges were collected in the form of a modest monthly meter charge.  In 1996, the Commission changed the policy to require an upfront installation charge of roughly $200 to</w:t>
      </w:r>
      <w:r w:rsidR="00A55571" w:rsidRPr="00612923">
        <w:t> </w:t>
      </w:r>
      <w:r w:rsidRPr="00612923">
        <w:t xml:space="preserve">obtain a TOU meter.  New enrollment essentially stopped after that point and program enrollment began a slow, steady decline due primarily to customer churn.  </w:t>
      </w:r>
    </w:p>
    <w:p w:rsidR="00A53378" w:rsidRPr="00612923" w:rsidRDefault="00A53378" w:rsidP="00A53378">
      <w:pPr>
        <w:pStyle w:val="BodyParagraph"/>
      </w:pPr>
      <w:r w:rsidRPr="00612923">
        <w:t>The E-7 tariff was closed to new enrollment in 2006,</w:t>
      </w:r>
      <w:r w:rsidRPr="00612923">
        <w:rPr>
          <w:rStyle w:val="FootnoteReference"/>
        </w:rPr>
        <w:footnoteReference w:id="4"/>
      </w:r>
      <w:r w:rsidRPr="00612923">
        <w:t xml:space="preserve"> when it was replaced with the new E-6 tariff.  E</w:t>
      </w:r>
      <w:r w:rsidR="00A55571" w:rsidRPr="00612923">
        <w:noBreakHyphen/>
      </w:r>
      <w:r w:rsidRPr="00612923">
        <w:t xml:space="preserve">6 was designed to be a revenue neutral tariff.  As discussed below, enrollment in E-6 has been modest and is comprised largely of customers with rooftop solar installations.  </w:t>
      </w:r>
    </w:p>
    <w:p w:rsidR="00A53378" w:rsidRPr="00612923" w:rsidRDefault="00A53378" w:rsidP="00A53378">
      <w:pPr>
        <w:pStyle w:val="BodyParagraph"/>
      </w:pPr>
      <w:r w:rsidRPr="00612923">
        <w:t>PG&amp;E’s SmartRate tariff was initially offered to customers with SmartMeters starting in May 2008.  Roughly 10,000 customers enrolled in the Kern County region in summer 2008, which was the only area that had a sufficiently large number of SmartMeters at the time.  SmartRate was marketed much more broadly in 2009 since SmartMeter deployment was more widespread.  Enrollment peaked at around 25,000 customers in 2009, after which PG&amp;E ceased marketing the rate in response to the CPUC proposed decision leading to D.10-02-032 indicating that SmartRate would be closed in early 2011 and replaced with an alternative Peak Day Pricing (PDP) rate.  Enrollment in SmartRate declined moderately in 2010 and 2011, due largely to customer churn.  In November 2011, the Commission agreed to allow SmartRate to continue as an option and to eliminate the transition to PDP until a decision was obtained in Phase 2 of its 2014 General Rate Case.  Starting in early 2012, SmartRate was marketed heavily, and enrollment more than tripled between the beginning and end of 2012.  As of the end of October 2012, there were about 78,000 SmartRate customers.</w:t>
      </w:r>
    </w:p>
    <w:p w:rsidR="00A53378" w:rsidRPr="00612923" w:rsidRDefault="00A53378" w:rsidP="00A53378">
      <w:pPr>
        <w:pStyle w:val="Heading2"/>
      </w:pPr>
      <w:bookmarkStart w:id="16" w:name="_Toc349193876"/>
      <w:bookmarkStart w:id="17" w:name="_Toc352567291"/>
      <w:r w:rsidRPr="00612923">
        <w:t>SmartRate Overview</w:t>
      </w:r>
      <w:bookmarkEnd w:id="16"/>
      <w:bookmarkEnd w:id="17"/>
    </w:p>
    <w:p w:rsidR="00A53378" w:rsidRPr="00612923" w:rsidRDefault="00A53378" w:rsidP="00A53378">
      <w:pPr>
        <w:pStyle w:val="BodyParagraph"/>
      </w:pPr>
      <w:r w:rsidRPr="00612923">
        <w:t>SmartRate is a critical peak pricing (CPP) tariff that is an overlay on a customer’s otherwise applicable tariff (OAT).</w:t>
      </w:r>
      <w:r w:rsidRPr="00612923">
        <w:rPr>
          <w:rStyle w:val="FootnoteReference"/>
        </w:rPr>
        <w:footnoteReference w:id="5"/>
      </w:r>
      <w:r w:rsidRPr="00612923">
        <w:t xml:space="preserve">  SmartRate pricing consists of an incremental charge that applies during the peak period on SmartDays and a per kilowatt-hour credit that applies for all other hours from June through September.  For residential customers, the additional peak-period charge on SmartDays is 60¢/kWh.  The SmartRate credit has two components, both of which apply only during the months of June through September.</w:t>
      </w:r>
      <w:r w:rsidRPr="00612923">
        <w:rPr>
          <w:vertAlign w:val="superscript"/>
        </w:rPr>
        <w:t xml:space="preserve"> </w:t>
      </w:r>
      <w:r w:rsidRPr="00612923">
        <w:t xml:space="preserve"> The first SmartRate credit</w:t>
      </w:r>
      <w:r w:rsidR="00A06530">
        <w:t xml:space="preserve">, </w:t>
      </w:r>
      <w:r w:rsidR="00A06530" w:rsidRPr="00612923">
        <w:t>3¢/kWh</w:t>
      </w:r>
      <w:r w:rsidR="00A06530">
        <w:t>,</w:t>
      </w:r>
      <w:r w:rsidRPr="00612923">
        <w:t xml:space="preserve"> applies to all usage other than peak-period usage on</w:t>
      </w:r>
      <w:r w:rsidR="00A97D47" w:rsidRPr="00612923">
        <w:t> </w:t>
      </w:r>
      <w:r w:rsidRPr="00612923">
        <w:t>SmartDays.    An additional credit of</w:t>
      </w:r>
      <w:r w:rsidR="00A97D47" w:rsidRPr="00612923">
        <w:t> </w:t>
      </w:r>
      <w:r w:rsidRPr="00612923">
        <w:t xml:space="preserve">1¢/kWh applies to </w:t>
      </w:r>
      <w:r w:rsidR="00017875" w:rsidRPr="00612923">
        <w:t>T</w:t>
      </w:r>
      <w:r w:rsidRPr="00612923">
        <w:t xml:space="preserve">ier 3 and higher usage for residential customers regardless of time period.  </w:t>
      </w:r>
    </w:p>
    <w:p w:rsidR="00A53378" w:rsidRPr="00612923" w:rsidRDefault="00A53378" w:rsidP="00A53378">
      <w:pPr>
        <w:pStyle w:val="BodyParagraph"/>
      </w:pPr>
      <w:r w:rsidRPr="00612923">
        <w:lastRenderedPageBreak/>
        <w:t>Under SmartRate, there can be up to 15 SmartDays (also referred to as event days) during the summer season, which runs from May 1 through October 31.  SmartDays are called based on a trigger</w:t>
      </w:r>
      <w:r w:rsidR="00A97D47" w:rsidRPr="00612923">
        <w:t> t</w:t>
      </w:r>
      <w:r w:rsidRPr="00612923">
        <w:t>emperature that is equal to 98</w:t>
      </w:r>
      <w:r w:rsidRPr="00612923">
        <w:rPr>
          <w:rFonts w:cs="Arial"/>
        </w:rPr>
        <w:t>°</w:t>
      </w:r>
      <w:r w:rsidRPr="00612923">
        <w:t>F at the beginning of the summer and is adjusted up or down</w:t>
      </w:r>
      <w:r w:rsidR="00A97D47" w:rsidRPr="00612923">
        <w:t> </w:t>
      </w:r>
      <w:r w:rsidRPr="00612923">
        <w:t>throughout the summer.  When the average temperature</w:t>
      </w:r>
      <w:r w:rsidRPr="00612923">
        <w:rPr>
          <w:rStyle w:val="FootnoteReference"/>
        </w:rPr>
        <w:footnoteReference w:id="6"/>
      </w:r>
      <w:r w:rsidRPr="00612923">
        <w:t xml:space="preserve"> is expected to be above the trigger temperature based on a day-ahead forecast, customers are notified that the next day will be a SmartDay.  Every two weeks, the trigger may be adjusted upward if there were more events than expected in the previous two weeks or downward if there were fewer.  The goal is for there to be an average of 12 event days each summer, with no fewer than 9 and no more than 15 during any particular summer.  </w:t>
      </w:r>
    </w:p>
    <w:p w:rsidR="00312AB8" w:rsidRPr="00612923" w:rsidRDefault="00312AB8" w:rsidP="00312AB8">
      <w:pPr>
        <w:pStyle w:val="BodyParagraph"/>
      </w:pPr>
      <w:r>
        <w:t>U</w:t>
      </w:r>
      <w:r w:rsidRPr="00612923">
        <w:t xml:space="preserve">nless a customer’s underlying rate is </w:t>
      </w:r>
      <w:r>
        <w:t xml:space="preserve">also </w:t>
      </w:r>
      <w:r w:rsidRPr="00612923">
        <w:t>a time-of-use (TOU) rate, which is rare (300 customers in 2012)</w:t>
      </w:r>
      <w:r>
        <w:t>,</w:t>
      </w:r>
      <w:r w:rsidRPr="00612923">
        <w:t xml:space="preserve"> </w:t>
      </w:r>
      <w:r>
        <w:t>p</w:t>
      </w:r>
      <w:r w:rsidRPr="00612923">
        <w:t>rices vary by time of day on SmartDays</w:t>
      </w:r>
      <w:r>
        <w:t xml:space="preserve"> </w:t>
      </w:r>
      <w:proofErr w:type="gramStart"/>
      <w:r w:rsidRPr="00612923">
        <w:t>only .</w:t>
      </w:r>
      <w:proofErr w:type="gramEnd"/>
      <w:r w:rsidRPr="00612923">
        <w:t xml:space="preserve">  The peak period on SmartDays is from 2 PM to 7 PM and customers are notified by 3 PM on the </w:t>
      </w:r>
      <w:r>
        <w:t xml:space="preserve">business </w:t>
      </w:r>
      <w:r w:rsidRPr="00612923">
        <w:t xml:space="preserve">day prior to the SmartDay.  Customers have several options for receiving event notification (e.g., email, phone, etc.), including not being notified at all.  Roughly 12% of SmartRate-only customers and 6% of dually-enrolled customers either chose not to be notified or provided notification information that was initially incorrect or </w:t>
      </w:r>
      <w:r>
        <w:t xml:space="preserve">has </w:t>
      </w:r>
      <w:r w:rsidRPr="00612923">
        <w:t xml:space="preserve">become outdated.  </w:t>
      </w:r>
    </w:p>
    <w:p w:rsidR="00312AB8" w:rsidRPr="00612923" w:rsidRDefault="00312AB8" w:rsidP="00312AB8">
      <w:pPr>
        <w:pStyle w:val="BodyParagraph"/>
      </w:pPr>
      <w:r w:rsidRPr="00612923">
        <w:t>Customers who enroll on SmartRate receive bill protection</w:t>
      </w:r>
      <w:r>
        <w:t xml:space="preserve"> for the first full season</w:t>
      </w:r>
      <w:r w:rsidRPr="00612923">
        <w:t xml:space="preserve">.  Bill protection is designed to address the risk aversion that pilot programs and market research have shown to be a significant barrier to enrolling customers onto dynamic rates.  </w:t>
      </w:r>
      <w:r>
        <w:t>B</w:t>
      </w:r>
      <w:r w:rsidRPr="00612923">
        <w:t xml:space="preserve">ill protection </w:t>
      </w:r>
      <w:r>
        <w:t xml:space="preserve">offers a risk-free trial and </w:t>
      </w:r>
      <w:r w:rsidRPr="00612923">
        <w:t>ensures that,</w:t>
      </w:r>
      <w:r>
        <w:t xml:space="preserve"> during the first full season on SmartRate</w:t>
      </w:r>
      <w:r w:rsidRPr="00612923">
        <w:t xml:space="preserve">, customer’s bills will not increase under the new rate option relative to what they would have been over the same period under the prior tariff.  </w:t>
      </w:r>
    </w:p>
    <w:p w:rsidR="00312AB8" w:rsidRPr="00612923" w:rsidRDefault="00312AB8" w:rsidP="00312AB8">
      <w:pPr>
        <w:pStyle w:val="BodyParagraph"/>
      </w:pPr>
      <w:r w:rsidRPr="00612923">
        <w:t xml:space="preserve">PG&amp;E’s standard residential tariff, E-1, is a five-tier, increasing block rate, with the price per kWh increasing nearly threefold between Tier 1 and Tiers 4 &amp; 5 (which have the same marginal price).  The usage levels where prices change are multiples of a baseline usage amount that varies by climate zone.  Table 2-1 shows the prices for each tier for the E-1 tariff for both CARE and non-CARE customers who do not have all-electric homes.  As shown in Table 2-1, the CARE discount is quite significant, especially for low income households that have usage in Tier 3 and above.  </w:t>
      </w:r>
    </w:p>
    <w:p w:rsidR="00A53378" w:rsidRPr="00612923" w:rsidRDefault="00A53378" w:rsidP="00A53378">
      <w:pPr>
        <w:pStyle w:val="BodyParagraph"/>
      </w:pPr>
      <w:r w:rsidRPr="00612923">
        <w:t xml:space="preserve">  </w:t>
      </w:r>
    </w:p>
    <w:p w:rsidR="00A53378" w:rsidRPr="00612923" w:rsidRDefault="00A53378">
      <w:pPr>
        <w:rPr>
          <w:rFonts w:ascii="Verdana" w:hAnsi="Verdana"/>
          <w:sz w:val="18"/>
        </w:rPr>
      </w:pPr>
      <w:r w:rsidRPr="00612923">
        <w:br w:type="page"/>
      </w:r>
    </w:p>
    <w:p w:rsidR="00A53378" w:rsidRPr="00612923" w:rsidRDefault="00A53378" w:rsidP="00A53378">
      <w:pPr>
        <w:pStyle w:val="TableFigureCaption"/>
      </w:pPr>
      <w:r w:rsidRPr="00612923">
        <w:lastRenderedPageBreak/>
        <w:t>Table 2-1: E-1 CARE and Non-CARE per kWh Prices for PG&amp;E</w:t>
      </w:r>
      <w:r w:rsidRPr="00612923">
        <w:rPr>
          <w:rStyle w:val="FootnoteReference"/>
        </w:rPr>
        <w:footnoteReference w:id="7"/>
      </w:r>
    </w:p>
    <w:tbl>
      <w:tblPr>
        <w:tblW w:w="5350" w:type="dxa"/>
        <w:jc w:val="center"/>
        <w:tblInd w:w="-600" w:type="dxa"/>
        <w:tblLook w:val="04A0"/>
      </w:tblPr>
      <w:tblGrid>
        <w:gridCol w:w="817"/>
        <w:gridCol w:w="1479"/>
        <w:gridCol w:w="1630"/>
        <w:gridCol w:w="1424"/>
      </w:tblGrid>
      <w:tr w:rsidR="00A53378" w:rsidRPr="00612923" w:rsidTr="00A53378">
        <w:trPr>
          <w:trHeight w:val="1020"/>
          <w:jc w:val="center"/>
        </w:trPr>
        <w:tc>
          <w:tcPr>
            <w:tcW w:w="630"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Usage Tier</w:t>
            </w:r>
          </w:p>
        </w:tc>
        <w:tc>
          <w:tcPr>
            <w:tcW w:w="1530" w:type="dxa"/>
            <w:tcBorders>
              <w:top w:val="single" w:sz="4" w:space="0" w:color="auto"/>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 of Baseline Usage</w:t>
            </w:r>
          </w:p>
        </w:tc>
        <w:tc>
          <w:tcPr>
            <w:tcW w:w="1710" w:type="dxa"/>
            <w:tcBorders>
              <w:top w:val="single" w:sz="4" w:space="0" w:color="auto"/>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E-1 Price for Tier (¢/kWh)</w:t>
            </w:r>
          </w:p>
        </w:tc>
        <w:tc>
          <w:tcPr>
            <w:tcW w:w="1480" w:type="dxa"/>
            <w:tcBorders>
              <w:top w:val="single" w:sz="4" w:space="0" w:color="auto"/>
              <w:left w:val="nil"/>
              <w:bottom w:val="single" w:sz="4" w:space="0" w:color="auto"/>
              <w:right w:val="single" w:sz="4" w:space="0" w:color="auto"/>
            </w:tcBorders>
            <w:shd w:val="clear" w:color="000000" w:fill="1F497D"/>
            <w:vAlign w:val="center"/>
            <w:hideMark/>
          </w:tcPr>
          <w:p w:rsidR="00A53378" w:rsidRPr="00612923" w:rsidRDefault="00A53378" w:rsidP="00254844">
            <w:pPr>
              <w:pStyle w:val="TableHeader"/>
              <w:keepNext/>
            </w:pPr>
            <w:r w:rsidRPr="00612923">
              <w:t>CARE Price for Tier (¢/kWh)</w:t>
            </w:r>
          </w:p>
        </w:tc>
      </w:tr>
      <w:tr w:rsidR="00A53378" w:rsidRPr="00612923" w:rsidTr="00A53378">
        <w:trPr>
          <w:trHeight w:val="300"/>
          <w:jc w:val="center"/>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100%</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13.2</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8.3</w:t>
            </w:r>
          </w:p>
        </w:tc>
      </w:tr>
      <w:tr w:rsidR="00A53378" w:rsidRPr="00612923" w:rsidTr="00A53378">
        <w:trPr>
          <w:trHeight w:val="300"/>
          <w:jc w:val="center"/>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130%</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15.0</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9.6</w:t>
            </w:r>
          </w:p>
        </w:tc>
      </w:tr>
      <w:tr w:rsidR="00A53378" w:rsidRPr="00612923" w:rsidTr="00A53378">
        <w:trPr>
          <w:trHeight w:val="300"/>
          <w:jc w:val="center"/>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3</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200%</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30.0</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14.0</w:t>
            </w:r>
          </w:p>
        </w:tc>
      </w:tr>
      <w:tr w:rsidR="00A53378" w:rsidRPr="00612923" w:rsidTr="00A53378">
        <w:trPr>
          <w:trHeight w:val="300"/>
          <w:jc w:val="center"/>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300%</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34.0</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14.0</w:t>
            </w:r>
          </w:p>
        </w:tc>
      </w:tr>
      <w:tr w:rsidR="00A53378" w:rsidRPr="00612923" w:rsidTr="00A53378">
        <w:trPr>
          <w:trHeight w:val="300"/>
          <w:jc w:val="center"/>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3378" w:rsidRPr="00612923" w:rsidRDefault="00A53378" w:rsidP="00A53378">
            <w:pPr>
              <w:pStyle w:val="TableText"/>
            </w:pPr>
            <w:r w:rsidRPr="00612923">
              <w:t>5</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A53378">
            <w:pPr>
              <w:pStyle w:val="TableText"/>
            </w:pPr>
            <w:r w:rsidRPr="00612923">
              <w:t>&gt;300%</w:t>
            </w:r>
          </w:p>
        </w:tc>
        <w:tc>
          <w:tcPr>
            <w:tcW w:w="171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A53378">
            <w:pPr>
              <w:pStyle w:val="TableText"/>
            </w:pPr>
            <w:r w:rsidRPr="00612923">
              <w:t>34.0</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A53378">
            <w:pPr>
              <w:pStyle w:val="TableText"/>
            </w:pPr>
            <w:r w:rsidRPr="00612923">
              <w:t>14.0</w:t>
            </w:r>
          </w:p>
        </w:tc>
      </w:tr>
    </w:tbl>
    <w:p w:rsidR="00A53378" w:rsidRPr="00612923" w:rsidRDefault="00A53378" w:rsidP="00A53378">
      <w:pPr>
        <w:pStyle w:val="BodyParaAfterTableFigure"/>
      </w:pPr>
      <w:r w:rsidRPr="00612923">
        <w:t>With the tiered pricing used in PG&amp;E’s service territory, the price ratio between peak-period prices on SmartDays and the average price on normal days on the SmartRate tariff (which is roughly 3¢/kWh lower than the averages in Table 2-1 because of the SmartRate credit during those hours), varies significantly with usage and also varies between CARE and non-CARE customers.  For example, for a</w:t>
      </w:r>
      <w:r w:rsidR="00017875" w:rsidRPr="00612923">
        <w:t> </w:t>
      </w:r>
      <w:r w:rsidRPr="00612923">
        <w:t xml:space="preserve">Tier 1 customer on the E-1 tariff, the peak-period price on SmartDays is about seven times higher than on non-SmartDays.  On the other hand, for a Tier 4 or 5 </w:t>
      </w:r>
      <w:proofErr w:type="gramStart"/>
      <w:r w:rsidRPr="00612923">
        <w:t>customer</w:t>
      </w:r>
      <w:proofErr w:type="gramEnd"/>
      <w:r w:rsidRPr="00612923">
        <w:t xml:space="preserve">, the peak period price would equal roughly 94¢/kWh and the price ratio would be less than 3 to 1.  For CARE customers in </w:t>
      </w:r>
      <w:r w:rsidR="00017875" w:rsidRPr="00612923">
        <w:t>T</w:t>
      </w:r>
      <w:r w:rsidRPr="00612923">
        <w:t xml:space="preserve">ier 1, the SmartDay peak-period price is approximately 68¢/kWh and the price ratio between SmartDay peak-period prices and non-SmartDay prices is roughly 13 to 1. </w:t>
      </w:r>
    </w:p>
    <w:p w:rsidR="00A53378" w:rsidRPr="00612923" w:rsidRDefault="00A53378" w:rsidP="00A53378">
      <w:pPr>
        <w:pStyle w:val="BodyParagraph"/>
      </w:pPr>
      <w:r w:rsidRPr="00612923">
        <w:t>Table 2-2 shows the proportion of customers in the PG&amp;E residential population, the SmartRate-only population, and the dually-enrolled population by LCA and CARE status.  Customers enrolled on SmartRate are more likely to be located in hotter regions than the general population.  In the past, SmartRate customers had tended to be located in hotter areas than the general population, but with the increased enrollment in 2012, this is much less true.  There is still some tendency in that direction, particularly among CARE customers, but it is only moderate.</w:t>
      </w:r>
    </w:p>
    <w:p w:rsidR="00017875" w:rsidRPr="00612923" w:rsidRDefault="00A53378" w:rsidP="00A53378">
      <w:pPr>
        <w:pStyle w:val="BodyParagraph"/>
      </w:pPr>
      <w:r w:rsidRPr="00612923">
        <w:t>Another important aspect of Table 2-2 is that Kern and Greater Fresno—the two hottest LCAs—have a</w:t>
      </w:r>
      <w:r w:rsidR="00017875" w:rsidRPr="00612923">
        <w:t> </w:t>
      </w:r>
      <w:r w:rsidRPr="00612923">
        <w:t xml:space="preserve">very large fraction of CARE customers who tend to provide lower load impacts.  This is important to keep in mind in </w:t>
      </w:r>
      <w:r w:rsidR="00A06530">
        <w:t>review</w:t>
      </w:r>
      <w:r w:rsidR="00A06530" w:rsidRPr="00612923">
        <w:t xml:space="preserve">ing </w:t>
      </w:r>
      <w:r w:rsidR="00A06530">
        <w:t xml:space="preserve">the </w:t>
      </w:r>
      <w:r w:rsidRPr="00612923">
        <w:t>ex post load impacts.</w:t>
      </w:r>
    </w:p>
    <w:p w:rsidR="00017875" w:rsidRPr="00612923" w:rsidRDefault="00017875">
      <w:pPr>
        <w:rPr>
          <w:rFonts w:ascii="Verdana" w:hAnsi="Verdana"/>
          <w:sz w:val="18"/>
        </w:rPr>
      </w:pPr>
      <w:r w:rsidRPr="00612923">
        <w:br w:type="page"/>
      </w:r>
    </w:p>
    <w:p w:rsidR="00A53378" w:rsidRPr="00612923" w:rsidRDefault="00A53378" w:rsidP="00017875">
      <w:pPr>
        <w:pStyle w:val="TableFigureCaption"/>
        <w:rPr>
          <w:rFonts w:cs="Arial"/>
          <w:szCs w:val="18"/>
        </w:rPr>
      </w:pPr>
      <w:r w:rsidRPr="00612923">
        <w:lastRenderedPageBreak/>
        <w:t xml:space="preserve">Table 2-2: Customers in Population and SmartRate Program by </w:t>
      </w:r>
      <w:r w:rsidRPr="00612923">
        <w:br/>
        <w:t>Local Capacity Area and CARE Status</w:t>
      </w:r>
    </w:p>
    <w:tbl>
      <w:tblPr>
        <w:tblW w:w="11132" w:type="dxa"/>
        <w:jc w:val="center"/>
        <w:tblLook w:val="04A0"/>
      </w:tblPr>
      <w:tblGrid>
        <w:gridCol w:w="1725"/>
        <w:gridCol w:w="960"/>
        <w:gridCol w:w="677"/>
        <w:gridCol w:w="783"/>
        <w:gridCol w:w="677"/>
        <w:gridCol w:w="960"/>
        <w:gridCol w:w="677"/>
        <w:gridCol w:w="783"/>
        <w:gridCol w:w="677"/>
        <w:gridCol w:w="1060"/>
        <w:gridCol w:w="677"/>
        <w:gridCol w:w="1017"/>
        <w:gridCol w:w="677"/>
      </w:tblGrid>
      <w:tr w:rsidR="00A53378" w:rsidRPr="00612923" w:rsidTr="00A53378">
        <w:trPr>
          <w:trHeight w:val="300"/>
          <w:jc w:val="center"/>
        </w:trPr>
        <w:tc>
          <w:tcPr>
            <w:tcW w:w="1725" w:type="dxa"/>
            <w:vMerge w:val="restart"/>
            <w:tcBorders>
              <w:top w:val="single" w:sz="4" w:space="0" w:color="auto"/>
              <w:left w:val="single" w:sz="4" w:space="0" w:color="auto"/>
              <w:bottom w:val="single" w:sz="4" w:space="0" w:color="000000"/>
              <w:right w:val="single" w:sz="4" w:space="0" w:color="FFFFFF"/>
            </w:tcBorders>
            <w:shd w:val="clear" w:color="000000" w:fill="1F497D"/>
            <w:vAlign w:val="center"/>
            <w:hideMark/>
          </w:tcPr>
          <w:p w:rsidR="00A53378" w:rsidRPr="00612923" w:rsidRDefault="00A53378" w:rsidP="00254844">
            <w:pPr>
              <w:pStyle w:val="TableHeader"/>
              <w:keepNext/>
            </w:pPr>
            <w:r w:rsidRPr="00612923">
              <w:t>Local Capacity Area</w:t>
            </w:r>
          </w:p>
        </w:tc>
        <w:tc>
          <w:tcPr>
            <w:tcW w:w="6167" w:type="dxa"/>
            <w:gridSpan w:val="8"/>
            <w:tcBorders>
              <w:top w:val="single" w:sz="4" w:space="0" w:color="auto"/>
              <w:left w:val="nil"/>
              <w:bottom w:val="single" w:sz="4" w:space="0" w:color="FFFFFF"/>
              <w:right w:val="single" w:sz="4" w:space="0" w:color="FFFFFF"/>
            </w:tcBorders>
            <w:shd w:val="clear" w:color="000000" w:fill="1F497D"/>
            <w:noWrap/>
            <w:vAlign w:val="center"/>
            <w:hideMark/>
          </w:tcPr>
          <w:p w:rsidR="00A53378" w:rsidRPr="00612923" w:rsidRDefault="00A53378" w:rsidP="00254844">
            <w:pPr>
              <w:pStyle w:val="TableHeader"/>
              <w:keepNext/>
            </w:pPr>
            <w:r w:rsidRPr="00612923">
              <w:t>SmartRate Participants (End of 2012)</w:t>
            </w:r>
          </w:p>
        </w:tc>
        <w:tc>
          <w:tcPr>
            <w:tcW w:w="3240" w:type="dxa"/>
            <w:gridSpan w:val="4"/>
            <w:vMerge w:val="restart"/>
            <w:tcBorders>
              <w:top w:val="single" w:sz="4" w:space="0" w:color="auto"/>
              <w:left w:val="single" w:sz="4" w:space="0" w:color="FFFFFF"/>
              <w:bottom w:val="single" w:sz="4" w:space="0" w:color="FFFFFF"/>
              <w:right w:val="single" w:sz="4" w:space="0" w:color="000000"/>
            </w:tcBorders>
            <w:shd w:val="clear" w:color="000000" w:fill="1F497D"/>
            <w:noWrap/>
            <w:vAlign w:val="center"/>
            <w:hideMark/>
          </w:tcPr>
          <w:p w:rsidR="00A53378" w:rsidRPr="00612923" w:rsidRDefault="00A53378" w:rsidP="00254844">
            <w:pPr>
              <w:pStyle w:val="TableHeader"/>
              <w:keepNext/>
            </w:pPr>
            <w:r w:rsidRPr="00612923">
              <w:t>PG&amp;E Residential Population</w:t>
            </w:r>
          </w:p>
        </w:tc>
      </w:tr>
      <w:tr w:rsidR="00A53378" w:rsidRPr="00612923" w:rsidTr="00A53378">
        <w:trPr>
          <w:trHeight w:val="300"/>
          <w:jc w:val="center"/>
        </w:trPr>
        <w:tc>
          <w:tcPr>
            <w:tcW w:w="1725" w:type="dxa"/>
            <w:vMerge/>
            <w:tcBorders>
              <w:top w:val="single" w:sz="4" w:space="0" w:color="auto"/>
              <w:left w:val="single" w:sz="4" w:space="0" w:color="auto"/>
              <w:bottom w:val="single" w:sz="4" w:space="0" w:color="000000"/>
              <w:right w:val="single" w:sz="4" w:space="0" w:color="FFFFFF"/>
            </w:tcBorders>
            <w:vAlign w:val="center"/>
            <w:hideMark/>
          </w:tcPr>
          <w:p w:rsidR="00A53378" w:rsidRPr="00612923" w:rsidRDefault="00A53378" w:rsidP="00254844">
            <w:pPr>
              <w:pStyle w:val="TableHeader"/>
              <w:keepNext/>
            </w:pPr>
          </w:p>
        </w:tc>
        <w:tc>
          <w:tcPr>
            <w:tcW w:w="3081" w:type="dxa"/>
            <w:gridSpan w:val="4"/>
            <w:tcBorders>
              <w:top w:val="single" w:sz="4" w:space="0" w:color="FFFFFF"/>
              <w:left w:val="nil"/>
              <w:bottom w:val="single" w:sz="4" w:space="0" w:color="FFFFFF"/>
              <w:right w:val="single" w:sz="4" w:space="0" w:color="FFFFFF"/>
            </w:tcBorders>
            <w:shd w:val="clear" w:color="000000" w:fill="1F497D"/>
            <w:noWrap/>
            <w:vAlign w:val="center"/>
            <w:hideMark/>
          </w:tcPr>
          <w:p w:rsidR="00A53378" w:rsidRPr="00612923" w:rsidRDefault="00A53378" w:rsidP="00254844">
            <w:pPr>
              <w:pStyle w:val="TableHeader"/>
              <w:keepNext/>
            </w:pPr>
            <w:r w:rsidRPr="00612923">
              <w:t>SmartRate-Only</w:t>
            </w:r>
          </w:p>
        </w:tc>
        <w:tc>
          <w:tcPr>
            <w:tcW w:w="3086" w:type="dxa"/>
            <w:gridSpan w:val="4"/>
            <w:tcBorders>
              <w:top w:val="single" w:sz="4" w:space="0" w:color="FFFFFF"/>
              <w:left w:val="nil"/>
              <w:bottom w:val="single" w:sz="4" w:space="0" w:color="FFFFFF"/>
              <w:right w:val="single" w:sz="4" w:space="0" w:color="FFFFFF"/>
            </w:tcBorders>
            <w:shd w:val="clear" w:color="000000" w:fill="1F497D"/>
            <w:noWrap/>
            <w:vAlign w:val="center"/>
            <w:hideMark/>
          </w:tcPr>
          <w:p w:rsidR="00A53378" w:rsidRPr="00612923" w:rsidRDefault="00A53378" w:rsidP="00254844">
            <w:pPr>
              <w:pStyle w:val="TableHeader"/>
              <w:keepNext/>
            </w:pPr>
            <w:r w:rsidRPr="00612923">
              <w:t>Dually Enrolled</w:t>
            </w:r>
          </w:p>
        </w:tc>
        <w:tc>
          <w:tcPr>
            <w:tcW w:w="3240" w:type="dxa"/>
            <w:gridSpan w:val="4"/>
            <w:vMerge/>
            <w:tcBorders>
              <w:top w:val="single" w:sz="4" w:space="0" w:color="auto"/>
              <w:left w:val="single" w:sz="4" w:space="0" w:color="FFFFFF"/>
              <w:bottom w:val="single" w:sz="4" w:space="0" w:color="FFFFFF"/>
              <w:right w:val="single" w:sz="4" w:space="0" w:color="000000"/>
            </w:tcBorders>
            <w:vAlign w:val="center"/>
            <w:hideMark/>
          </w:tcPr>
          <w:p w:rsidR="00A53378" w:rsidRPr="00612923" w:rsidRDefault="00A53378" w:rsidP="00254844">
            <w:pPr>
              <w:pStyle w:val="TableHeader"/>
              <w:keepNext/>
            </w:pPr>
          </w:p>
        </w:tc>
      </w:tr>
      <w:tr w:rsidR="00A53378" w:rsidRPr="00612923" w:rsidTr="00A53378">
        <w:trPr>
          <w:trHeight w:val="510"/>
          <w:jc w:val="center"/>
        </w:trPr>
        <w:tc>
          <w:tcPr>
            <w:tcW w:w="1725" w:type="dxa"/>
            <w:vMerge/>
            <w:tcBorders>
              <w:top w:val="single" w:sz="4" w:space="0" w:color="auto"/>
              <w:left w:val="single" w:sz="4" w:space="0" w:color="auto"/>
              <w:bottom w:val="single" w:sz="4" w:space="0" w:color="000000"/>
              <w:right w:val="single" w:sz="4" w:space="0" w:color="FFFFFF"/>
            </w:tcBorders>
            <w:vAlign w:val="center"/>
            <w:hideMark/>
          </w:tcPr>
          <w:p w:rsidR="00A53378" w:rsidRPr="00612923" w:rsidRDefault="00A53378" w:rsidP="00254844">
            <w:pPr>
              <w:pStyle w:val="TableHeader"/>
              <w:keepNext/>
            </w:pPr>
          </w:p>
        </w:tc>
        <w:tc>
          <w:tcPr>
            <w:tcW w:w="960"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Non-CARE</w:t>
            </w:r>
          </w:p>
        </w:tc>
        <w:tc>
          <w:tcPr>
            <w:tcW w:w="677"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w:t>
            </w:r>
          </w:p>
        </w:tc>
        <w:tc>
          <w:tcPr>
            <w:tcW w:w="767"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CARE</w:t>
            </w:r>
          </w:p>
        </w:tc>
        <w:tc>
          <w:tcPr>
            <w:tcW w:w="677"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w:t>
            </w:r>
          </w:p>
        </w:tc>
        <w:tc>
          <w:tcPr>
            <w:tcW w:w="960"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Non-CARE</w:t>
            </w:r>
          </w:p>
        </w:tc>
        <w:tc>
          <w:tcPr>
            <w:tcW w:w="677"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w:t>
            </w:r>
          </w:p>
        </w:tc>
        <w:tc>
          <w:tcPr>
            <w:tcW w:w="772"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CARE</w:t>
            </w:r>
          </w:p>
        </w:tc>
        <w:tc>
          <w:tcPr>
            <w:tcW w:w="677"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w:t>
            </w:r>
          </w:p>
        </w:tc>
        <w:tc>
          <w:tcPr>
            <w:tcW w:w="1060"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Non-CARE</w:t>
            </w:r>
          </w:p>
        </w:tc>
        <w:tc>
          <w:tcPr>
            <w:tcW w:w="677"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w:t>
            </w:r>
          </w:p>
        </w:tc>
        <w:tc>
          <w:tcPr>
            <w:tcW w:w="826" w:type="dxa"/>
            <w:tcBorders>
              <w:top w:val="nil"/>
              <w:left w:val="nil"/>
              <w:bottom w:val="single" w:sz="4" w:space="0" w:color="auto"/>
              <w:right w:val="single" w:sz="4" w:space="0" w:color="FFFFFF"/>
            </w:tcBorders>
            <w:shd w:val="clear" w:color="000000" w:fill="1F497D"/>
            <w:vAlign w:val="center"/>
            <w:hideMark/>
          </w:tcPr>
          <w:p w:rsidR="00A53378" w:rsidRPr="00612923" w:rsidRDefault="00A53378" w:rsidP="00254844">
            <w:pPr>
              <w:pStyle w:val="TableHeader"/>
              <w:keepNext/>
            </w:pPr>
            <w:r w:rsidRPr="00612923">
              <w:t>CARE</w:t>
            </w:r>
          </w:p>
        </w:tc>
        <w:tc>
          <w:tcPr>
            <w:tcW w:w="677" w:type="dxa"/>
            <w:tcBorders>
              <w:top w:val="nil"/>
              <w:left w:val="nil"/>
              <w:bottom w:val="single" w:sz="4" w:space="0" w:color="auto"/>
              <w:right w:val="single" w:sz="4" w:space="0" w:color="auto"/>
            </w:tcBorders>
            <w:shd w:val="clear" w:color="000000" w:fill="1F497D"/>
            <w:vAlign w:val="center"/>
            <w:hideMark/>
          </w:tcPr>
          <w:p w:rsidR="00A53378" w:rsidRPr="00612923" w:rsidRDefault="00A53378" w:rsidP="00254844">
            <w:pPr>
              <w:pStyle w:val="TableHeader"/>
              <w:keepNext/>
            </w:pPr>
            <w:r w:rsidRPr="00612923">
              <w:t>%</w:t>
            </w:r>
          </w:p>
        </w:tc>
      </w:tr>
      <w:tr w:rsidR="00A53378" w:rsidRPr="00612923" w:rsidTr="00A53378">
        <w:trPr>
          <w:trHeight w:val="300"/>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Greater Bay Area</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18,492</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54%</w:t>
            </w:r>
          </w:p>
        </w:tc>
        <w:tc>
          <w:tcPr>
            <w:tcW w:w="76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4,093</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23%</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11,008</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43%</w:t>
            </w:r>
          </w:p>
        </w:tc>
        <w:tc>
          <w:tcPr>
            <w:tcW w:w="772"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148</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1,650,223</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49%</w:t>
            </w:r>
          </w:p>
        </w:tc>
        <w:tc>
          <w:tcPr>
            <w:tcW w:w="826"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424,221</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35%</w:t>
            </w:r>
          </w:p>
        </w:tc>
      </w:tr>
      <w:tr w:rsidR="00A53378" w:rsidRPr="00612923" w:rsidTr="00A53378">
        <w:trPr>
          <w:trHeight w:val="300"/>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Greater Fresno</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2,404</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w:t>
            </w:r>
          </w:p>
        </w:tc>
        <w:tc>
          <w:tcPr>
            <w:tcW w:w="76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2,808</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15%</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2,725</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11%</w:t>
            </w:r>
          </w:p>
        </w:tc>
        <w:tc>
          <w:tcPr>
            <w:tcW w:w="772"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449</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24%</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263,079</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w:t>
            </w:r>
          </w:p>
        </w:tc>
        <w:tc>
          <w:tcPr>
            <w:tcW w:w="826"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209,967</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17%</w:t>
            </w:r>
          </w:p>
        </w:tc>
      </w:tr>
      <w:tr w:rsidR="00A53378" w:rsidRPr="00612923" w:rsidTr="00A53378">
        <w:trPr>
          <w:trHeight w:val="300"/>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Kern</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2,425</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w:t>
            </w:r>
          </w:p>
        </w:tc>
        <w:tc>
          <w:tcPr>
            <w:tcW w:w="76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3,398</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19%</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892</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w:t>
            </w:r>
          </w:p>
        </w:tc>
        <w:tc>
          <w:tcPr>
            <w:tcW w:w="772"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506</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27%</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103,743</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w:t>
            </w:r>
          </w:p>
        </w:tc>
        <w:tc>
          <w:tcPr>
            <w:tcW w:w="826"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75,505</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w:t>
            </w:r>
          </w:p>
        </w:tc>
      </w:tr>
      <w:tr w:rsidR="00A53378" w:rsidRPr="00612923" w:rsidTr="00A53378">
        <w:trPr>
          <w:trHeight w:val="300"/>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Northern Coast</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1,820</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5%</w:t>
            </w:r>
          </w:p>
        </w:tc>
        <w:tc>
          <w:tcPr>
            <w:tcW w:w="76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720</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1,657</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w:t>
            </w:r>
          </w:p>
        </w:tc>
        <w:tc>
          <w:tcPr>
            <w:tcW w:w="772"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21</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362,070</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11%</w:t>
            </w:r>
          </w:p>
        </w:tc>
        <w:tc>
          <w:tcPr>
            <w:tcW w:w="826"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104,229</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w:t>
            </w:r>
          </w:p>
        </w:tc>
      </w:tr>
      <w:tr w:rsidR="00A53378" w:rsidRPr="00612923" w:rsidTr="00A53378">
        <w:trPr>
          <w:trHeight w:val="300"/>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Other</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4,300</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13%</w:t>
            </w:r>
          </w:p>
        </w:tc>
        <w:tc>
          <w:tcPr>
            <w:tcW w:w="76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3,698</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20%</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3,768</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15%</w:t>
            </w:r>
          </w:p>
        </w:tc>
        <w:tc>
          <w:tcPr>
            <w:tcW w:w="772"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325</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17%</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616,615</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18%</w:t>
            </w:r>
          </w:p>
        </w:tc>
        <w:tc>
          <w:tcPr>
            <w:tcW w:w="826"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271,925</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22%</w:t>
            </w:r>
          </w:p>
        </w:tc>
      </w:tr>
      <w:tr w:rsidR="00A53378" w:rsidRPr="00612923" w:rsidTr="00A53378">
        <w:trPr>
          <w:trHeight w:val="300"/>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Sierra</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2,737</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w:t>
            </w:r>
          </w:p>
        </w:tc>
        <w:tc>
          <w:tcPr>
            <w:tcW w:w="76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1,325</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3,261</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13%</w:t>
            </w:r>
          </w:p>
        </w:tc>
        <w:tc>
          <w:tcPr>
            <w:tcW w:w="772"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125</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197,714</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w:t>
            </w:r>
          </w:p>
        </w:tc>
        <w:tc>
          <w:tcPr>
            <w:tcW w:w="826"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69,388</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w:t>
            </w:r>
          </w:p>
        </w:tc>
      </w:tr>
      <w:tr w:rsidR="00A53378" w:rsidRPr="00612923" w:rsidTr="00A53378">
        <w:trPr>
          <w:trHeight w:val="300"/>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Stockton</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2,093</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w:t>
            </w:r>
          </w:p>
        </w:tc>
        <w:tc>
          <w:tcPr>
            <w:tcW w:w="76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2,118</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12%</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2,112</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w:t>
            </w:r>
          </w:p>
        </w:tc>
        <w:tc>
          <w:tcPr>
            <w:tcW w:w="772"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331</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17%</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141,699</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w:t>
            </w:r>
          </w:p>
        </w:tc>
        <w:tc>
          <w:tcPr>
            <w:tcW w:w="826"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72,436</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w:t>
            </w:r>
          </w:p>
        </w:tc>
      </w:tr>
      <w:tr w:rsidR="00A53378" w:rsidRPr="00612923" w:rsidTr="00A53378">
        <w:trPr>
          <w:trHeight w:val="300"/>
          <w:jc w:val="center"/>
        </w:trPr>
        <w:tc>
          <w:tcPr>
            <w:tcW w:w="1725" w:type="dxa"/>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A53378">
            <w:pPr>
              <w:pStyle w:val="TableText"/>
              <w:rPr>
                <w:b/>
                <w:bCs/>
              </w:rPr>
            </w:pPr>
            <w:r w:rsidRPr="00612923">
              <w:rPr>
                <w:b/>
                <w:bCs/>
              </w:rPr>
              <w:t>Total</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rPr>
                <w:b/>
                <w:bCs/>
              </w:rPr>
            </w:pPr>
            <w:r w:rsidRPr="00612923">
              <w:rPr>
                <w:b/>
                <w:bCs/>
              </w:rPr>
              <w:t>34,271</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100%</w:t>
            </w:r>
          </w:p>
        </w:tc>
        <w:tc>
          <w:tcPr>
            <w:tcW w:w="76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rPr>
                <w:b/>
                <w:bCs/>
              </w:rPr>
            </w:pPr>
            <w:r w:rsidRPr="00612923">
              <w:rPr>
                <w:b/>
                <w:bCs/>
              </w:rPr>
              <w:t>18,160</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100%</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rPr>
                <w:b/>
                <w:bCs/>
              </w:rPr>
            </w:pPr>
            <w:r w:rsidRPr="00612923">
              <w:rPr>
                <w:b/>
                <w:bCs/>
              </w:rPr>
              <w:t>25,423</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100%</w:t>
            </w:r>
          </w:p>
        </w:tc>
        <w:tc>
          <w:tcPr>
            <w:tcW w:w="772"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rPr>
                <w:b/>
                <w:bCs/>
              </w:rPr>
            </w:pPr>
            <w:r w:rsidRPr="00612923">
              <w:rPr>
                <w:b/>
                <w:bCs/>
              </w:rPr>
              <w:t>1,905</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100%</w:t>
            </w:r>
          </w:p>
        </w:tc>
        <w:tc>
          <w:tcPr>
            <w:tcW w:w="10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rPr>
                <w:b/>
                <w:bCs/>
              </w:rPr>
            </w:pPr>
            <w:r w:rsidRPr="00612923">
              <w:rPr>
                <w:b/>
                <w:bCs/>
              </w:rPr>
              <w:t>3,335,143</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100%</w:t>
            </w:r>
          </w:p>
        </w:tc>
        <w:tc>
          <w:tcPr>
            <w:tcW w:w="826"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rPr>
                <w:b/>
                <w:bCs/>
              </w:rPr>
            </w:pPr>
            <w:r w:rsidRPr="00612923">
              <w:rPr>
                <w:b/>
                <w:bCs/>
              </w:rPr>
              <w:t>1,227,671</w:t>
            </w:r>
          </w:p>
        </w:tc>
        <w:tc>
          <w:tcPr>
            <w:tcW w:w="677"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A53378">
            <w:pPr>
              <w:pStyle w:val="TableText"/>
            </w:pPr>
            <w:r w:rsidRPr="00612923">
              <w:t>100%</w:t>
            </w:r>
          </w:p>
        </w:tc>
      </w:tr>
    </w:tbl>
    <w:p w:rsidR="00A53378" w:rsidRPr="00612923" w:rsidRDefault="00A53378" w:rsidP="00A53378">
      <w:pPr>
        <w:pStyle w:val="BodyParaAfterTableFigure"/>
      </w:pPr>
      <w:r w:rsidRPr="00612923">
        <w:t>Of the roughly 58,000 customers who were newly enrolled in SmartRate in 2012, approximately 23,000 were also enrolled in PG&amp;E’s SmartAC program.  SmartAC is a program in which customers receive a payment from PG&amp;E in return for allowing PG&amp;E to remotely turn down their air conditioner (AC) at times of high system load.  PG&amp;E accomplishes this control through the use of switches that are installed directly on the customer’s AC or through the use of programmable communicating thermostats that can receive a radio signal.  Customers who enroll in both programs are given the option of having their AC controlled during the peak period on SmartDays.  Choosing this option provides these customers an automatic boost to their savings due to reduced AC usage on SmartDays.</w:t>
      </w:r>
      <w:r w:rsidRPr="00612923">
        <w:rPr>
          <w:rStyle w:val="FootnoteReference"/>
        </w:rPr>
        <w:footnoteReference w:id="8"/>
      </w:r>
      <w:r w:rsidRPr="00612923">
        <w:t xml:space="preserve">  </w:t>
      </w:r>
    </w:p>
    <w:p w:rsidR="00701E06" w:rsidRPr="00612923" w:rsidRDefault="00A53378" w:rsidP="00A53378">
      <w:pPr>
        <w:pStyle w:val="BodyParagraph"/>
      </w:pPr>
      <w:r w:rsidRPr="00612923">
        <w:t>One important aspect of the increased enrollment in</w:t>
      </w:r>
      <w:r w:rsidR="00017875" w:rsidRPr="00612923">
        <w:t xml:space="preserve"> </w:t>
      </w:r>
      <w:r w:rsidRPr="00612923">
        <w:t xml:space="preserve">2012 is that it tended to take place in cooler parts of the service territory.  Table 2-3 shows the 2011 and 2012 enrollment by LCA for SmartRate-only and dually-enrolled customers.  The Greater Bay Area LCA has been split into two regions—cool and warm—based on the overall average summer temperatures by zip code.  Both the cooler parts of the Greater Bay Area and the Northern Coast LCA significantly increased their relative size from 2011 to 2012, while Kern and Greater Fresno—two of the hottest LCAs—saw significant reductions in relative population size.  Both parts of the Greater Bay Area saw particularly large relative gains among the dually-enrolled population. </w:t>
      </w:r>
      <w:r w:rsidR="00017875" w:rsidRPr="00612923">
        <w:t xml:space="preserve"> </w:t>
      </w:r>
      <w:r w:rsidRPr="00612923">
        <w:t>Even the warmer parts of the Greater Bay Area are not as hot as Kern or Greater Fresno.  This is important because we will see that the per customer impacts for dually-enrolled customers decreased from 2011 to 2012, and this is a likely reason.</w:t>
      </w:r>
    </w:p>
    <w:p w:rsidR="00701E06" w:rsidRPr="00612923" w:rsidRDefault="00701E06">
      <w:pPr>
        <w:rPr>
          <w:rFonts w:ascii="Verdana" w:hAnsi="Verdana"/>
          <w:sz w:val="18"/>
        </w:rPr>
      </w:pPr>
      <w:r w:rsidRPr="00612923">
        <w:br w:type="page"/>
      </w:r>
    </w:p>
    <w:p w:rsidR="0085403D" w:rsidRPr="00612923" w:rsidRDefault="00A53378">
      <w:pPr>
        <w:pStyle w:val="TableFigureCaption"/>
      </w:pPr>
      <w:r w:rsidRPr="00612923">
        <w:lastRenderedPageBreak/>
        <w:t xml:space="preserve">Table 2-3: Comparison of 2011 and 2012 Participants by </w:t>
      </w:r>
      <w:r w:rsidRPr="00612923">
        <w:br/>
        <w:t>Local Capacity Area</w:t>
      </w:r>
    </w:p>
    <w:tbl>
      <w:tblPr>
        <w:tblW w:w="5226" w:type="pct"/>
        <w:tblInd w:w="-432" w:type="dxa"/>
        <w:tblLook w:val="04A0"/>
      </w:tblPr>
      <w:tblGrid>
        <w:gridCol w:w="1442"/>
        <w:gridCol w:w="767"/>
        <w:gridCol w:w="677"/>
        <w:gridCol w:w="767"/>
        <w:gridCol w:w="678"/>
        <w:gridCol w:w="667"/>
        <w:gridCol w:w="677"/>
        <w:gridCol w:w="767"/>
        <w:gridCol w:w="678"/>
        <w:gridCol w:w="767"/>
        <w:gridCol w:w="677"/>
        <w:gridCol w:w="767"/>
        <w:gridCol w:w="678"/>
      </w:tblGrid>
      <w:tr w:rsidR="00A53378" w:rsidRPr="00612923" w:rsidTr="004A123C">
        <w:trPr>
          <w:trHeight w:val="300"/>
        </w:trPr>
        <w:tc>
          <w:tcPr>
            <w:tcW w:w="721" w:type="pct"/>
            <w:vMerge w:val="restart"/>
            <w:tcBorders>
              <w:top w:val="single" w:sz="4" w:space="0" w:color="000000"/>
              <w:left w:val="single" w:sz="4" w:space="0" w:color="000000"/>
              <w:bottom w:val="single" w:sz="4" w:space="0" w:color="000000"/>
              <w:right w:val="single" w:sz="4" w:space="0" w:color="FFFFFF"/>
            </w:tcBorders>
            <w:shd w:val="clear" w:color="000000" w:fill="1F497D"/>
            <w:vAlign w:val="center"/>
            <w:hideMark/>
          </w:tcPr>
          <w:p w:rsidR="00A53378" w:rsidRPr="00612923" w:rsidRDefault="00A53378" w:rsidP="00254844">
            <w:pPr>
              <w:pStyle w:val="TableHeader"/>
              <w:keepNext/>
            </w:pPr>
            <w:r w:rsidRPr="00612923">
              <w:t>LCA</w:t>
            </w:r>
          </w:p>
        </w:tc>
        <w:tc>
          <w:tcPr>
            <w:tcW w:w="1443" w:type="pct"/>
            <w:gridSpan w:val="4"/>
            <w:tcBorders>
              <w:top w:val="single" w:sz="4" w:space="0" w:color="000000"/>
              <w:left w:val="nil"/>
              <w:bottom w:val="single" w:sz="4" w:space="0" w:color="FFFFFF"/>
              <w:right w:val="single" w:sz="4" w:space="0" w:color="FFFFFF"/>
            </w:tcBorders>
            <w:shd w:val="clear" w:color="000000" w:fill="1F497D"/>
            <w:noWrap/>
            <w:vAlign w:val="bottom"/>
            <w:hideMark/>
          </w:tcPr>
          <w:p w:rsidR="00A53378" w:rsidRPr="00612923" w:rsidRDefault="00A53378" w:rsidP="00254844">
            <w:pPr>
              <w:pStyle w:val="TableHeader"/>
              <w:keepNext/>
            </w:pPr>
            <w:r w:rsidRPr="00612923">
              <w:t>SmartRate-</w:t>
            </w:r>
            <w:r w:rsidR="00017875" w:rsidRPr="00612923">
              <w:t>o</w:t>
            </w:r>
            <w:r w:rsidRPr="00612923">
              <w:t>nly</w:t>
            </w:r>
          </w:p>
        </w:tc>
        <w:tc>
          <w:tcPr>
            <w:tcW w:w="1393" w:type="pct"/>
            <w:gridSpan w:val="4"/>
            <w:tcBorders>
              <w:top w:val="single" w:sz="4" w:space="0" w:color="000000"/>
              <w:left w:val="nil"/>
              <w:bottom w:val="single" w:sz="4" w:space="0" w:color="FFFFFF"/>
              <w:right w:val="single" w:sz="4" w:space="0" w:color="FFFFFF"/>
            </w:tcBorders>
            <w:shd w:val="clear" w:color="000000" w:fill="1F497D"/>
            <w:noWrap/>
            <w:vAlign w:val="bottom"/>
            <w:hideMark/>
          </w:tcPr>
          <w:p w:rsidR="00A53378" w:rsidRPr="00612923" w:rsidRDefault="00A53378" w:rsidP="00254844">
            <w:pPr>
              <w:pStyle w:val="TableHeader"/>
              <w:keepNext/>
            </w:pPr>
            <w:r w:rsidRPr="00612923">
              <w:t>Dually</w:t>
            </w:r>
            <w:r w:rsidR="00017875" w:rsidRPr="00612923">
              <w:t>-e</w:t>
            </w:r>
            <w:r w:rsidRPr="00612923">
              <w:t>nrolled</w:t>
            </w:r>
          </w:p>
        </w:tc>
        <w:tc>
          <w:tcPr>
            <w:tcW w:w="1443" w:type="pct"/>
            <w:gridSpan w:val="4"/>
            <w:tcBorders>
              <w:top w:val="single" w:sz="4" w:space="0" w:color="000000"/>
              <w:left w:val="nil"/>
              <w:bottom w:val="single" w:sz="4" w:space="0" w:color="FFFFFF"/>
              <w:right w:val="single" w:sz="4" w:space="0" w:color="000000"/>
            </w:tcBorders>
            <w:shd w:val="clear" w:color="000000" w:fill="1F497D"/>
            <w:noWrap/>
            <w:vAlign w:val="bottom"/>
            <w:hideMark/>
          </w:tcPr>
          <w:p w:rsidR="00A53378" w:rsidRPr="00612923" w:rsidRDefault="00A53378" w:rsidP="00254844">
            <w:pPr>
              <w:pStyle w:val="TableHeader"/>
              <w:keepNext/>
            </w:pPr>
            <w:r w:rsidRPr="00612923">
              <w:t>All Customers</w:t>
            </w:r>
          </w:p>
        </w:tc>
      </w:tr>
      <w:tr w:rsidR="00A53378" w:rsidRPr="00612923" w:rsidTr="004A123C">
        <w:trPr>
          <w:trHeight w:val="300"/>
        </w:trPr>
        <w:tc>
          <w:tcPr>
            <w:tcW w:w="721" w:type="pct"/>
            <w:vMerge/>
            <w:tcBorders>
              <w:top w:val="single" w:sz="4" w:space="0" w:color="000000"/>
              <w:left w:val="single" w:sz="4" w:space="0" w:color="000000"/>
              <w:bottom w:val="single" w:sz="4" w:space="0" w:color="000000"/>
              <w:right w:val="single" w:sz="4" w:space="0" w:color="FFFFFF"/>
            </w:tcBorders>
            <w:vAlign w:val="center"/>
            <w:hideMark/>
          </w:tcPr>
          <w:p w:rsidR="00A53378" w:rsidRPr="00612923" w:rsidRDefault="00A53378" w:rsidP="00254844">
            <w:pPr>
              <w:pStyle w:val="TableHeader"/>
              <w:keepNext/>
            </w:pPr>
          </w:p>
        </w:tc>
        <w:tc>
          <w:tcPr>
            <w:tcW w:w="383"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2011</w:t>
            </w:r>
          </w:p>
        </w:tc>
        <w:tc>
          <w:tcPr>
            <w:tcW w:w="338"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w:t>
            </w:r>
          </w:p>
        </w:tc>
        <w:tc>
          <w:tcPr>
            <w:tcW w:w="383"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2012</w:t>
            </w:r>
          </w:p>
        </w:tc>
        <w:tc>
          <w:tcPr>
            <w:tcW w:w="338"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w:t>
            </w:r>
          </w:p>
        </w:tc>
        <w:tc>
          <w:tcPr>
            <w:tcW w:w="333"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2011</w:t>
            </w:r>
          </w:p>
        </w:tc>
        <w:tc>
          <w:tcPr>
            <w:tcW w:w="338"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w:t>
            </w:r>
          </w:p>
        </w:tc>
        <w:tc>
          <w:tcPr>
            <w:tcW w:w="383"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2012</w:t>
            </w:r>
          </w:p>
        </w:tc>
        <w:tc>
          <w:tcPr>
            <w:tcW w:w="339"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w:t>
            </w:r>
          </w:p>
        </w:tc>
        <w:tc>
          <w:tcPr>
            <w:tcW w:w="383"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2011</w:t>
            </w:r>
          </w:p>
        </w:tc>
        <w:tc>
          <w:tcPr>
            <w:tcW w:w="338"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w:t>
            </w:r>
          </w:p>
        </w:tc>
        <w:tc>
          <w:tcPr>
            <w:tcW w:w="383" w:type="pct"/>
            <w:tcBorders>
              <w:top w:val="nil"/>
              <w:left w:val="nil"/>
              <w:bottom w:val="nil"/>
              <w:right w:val="single" w:sz="4" w:space="0" w:color="FFFFFF"/>
            </w:tcBorders>
            <w:shd w:val="clear" w:color="000000" w:fill="1F497D"/>
            <w:vAlign w:val="center"/>
            <w:hideMark/>
          </w:tcPr>
          <w:p w:rsidR="00A53378" w:rsidRPr="00612923" w:rsidRDefault="00A53378" w:rsidP="00254844">
            <w:pPr>
              <w:pStyle w:val="TableHeader"/>
              <w:keepNext/>
            </w:pPr>
            <w:r w:rsidRPr="00612923">
              <w:t>2012</w:t>
            </w:r>
          </w:p>
        </w:tc>
        <w:tc>
          <w:tcPr>
            <w:tcW w:w="339" w:type="pct"/>
            <w:tcBorders>
              <w:top w:val="nil"/>
              <w:left w:val="nil"/>
              <w:bottom w:val="nil"/>
              <w:right w:val="single" w:sz="4" w:space="0" w:color="000000"/>
            </w:tcBorders>
            <w:shd w:val="clear" w:color="000000" w:fill="1F497D"/>
            <w:vAlign w:val="center"/>
            <w:hideMark/>
          </w:tcPr>
          <w:p w:rsidR="00A53378" w:rsidRPr="00612923" w:rsidRDefault="00A53378" w:rsidP="00254844">
            <w:pPr>
              <w:pStyle w:val="TableHeader"/>
              <w:keepNext/>
            </w:pPr>
            <w:r w:rsidRPr="00612923">
              <w:t>%</w:t>
            </w:r>
          </w:p>
        </w:tc>
      </w:tr>
      <w:tr w:rsidR="00A53378" w:rsidRPr="00612923" w:rsidTr="004A123C">
        <w:trPr>
          <w:trHeight w:val="300"/>
        </w:trPr>
        <w:tc>
          <w:tcPr>
            <w:tcW w:w="721" w:type="pct"/>
            <w:tcBorders>
              <w:top w:val="nil"/>
              <w:left w:val="single" w:sz="4" w:space="0" w:color="000000"/>
              <w:bottom w:val="single" w:sz="4" w:space="0" w:color="000000"/>
              <w:right w:val="nil"/>
            </w:tcBorders>
            <w:shd w:val="clear" w:color="auto" w:fill="auto"/>
            <w:vAlign w:val="center"/>
            <w:hideMark/>
          </w:tcPr>
          <w:p w:rsidR="00A53378" w:rsidRPr="00612923" w:rsidRDefault="00A53378" w:rsidP="00254844">
            <w:pPr>
              <w:pStyle w:val="TableText"/>
              <w:keepNext/>
            </w:pPr>
            <w:r w:rsidRPr="00612923">
              <w:t>Greater Bay Area - Cool</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4,640</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28%</w:t>
            </w:r>
          </w:p>
        </w:tc>
        <w:tc>
          <w:tcPr>
            <w:tcW w:w="383" w:type="pct"/>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21,096</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40%</w:t>
            </w:r>
          </w:p>
        </w:tc>
        <w:tc>
          <w:tcPr>
            <w:tcW w:w="333" w:type="pct"/>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267</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6%</w:t>
            </w:r>
          </w:p>
        </w:tc>
        <w:tc>
          <w:tcPr>
            <w:tcW w:w="383" w:type="pct"/>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6,118</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22%</w:t>
            </w:r>
          </w:p>
        </w:tc>
        <w:tc>
          <w:tcPr>
            <w:tcW w:w="383" w:type="pct"/>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4,907</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24%</w:t>
            </w:r>
          </w:p>
        </w:tc>
        <w:tc>
          <w:tcPr>
            <w:tcW w:w="383" w:type="pct"/>
            <w:tcBorders>
              <w:top w:val="single" w:sz="4" w:space="0" w:color="auto"/>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27,214</w:t>
            </w:r>
          </w:p>
        </w:tc>
        <w:tc>
          <w:tcPr>
            <w:tcW w:w="339" w:type="pct"/>
            <w:tcBorders>
              <w:top w:val="single" w:sz="4" w:space="0" w:color="auto"/>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34%</w:t>
            </w:r>
          </w:p>
        </w:tc>
      </w:tr>
      <w:tr w:rsidR="00A53378" w:rsidRPr="00612923" w:rsidTr="004A123C">
        <w:trPr>
          <w:trHeight w:val="480"/>
        </w:trPr>
        <w:tc>
          <w:tcPr>
            <w:tcW w:w="721" w:type="pct"/>
            <w:tcBorders>
              <w:top w:val="nil"/>
              <w:left w:val="single" w:sz="4" w:space="0" w:color="000000"/>
              <w:bottom w:val="single" w:sz="4" w:space="0" w:color="000000"/>
              <w:right w:val="nil"/>
            </w:tcBorders>
            <w:shd w:val="clear" w:color="auto" w:fill="auto"/>
            <w:vAlign w:val="center"/>
            <w:hideMark/>
          </w:tcPr>
          <w:p w:rsidR="00A53378" w:rsidRPr="00612923" w:rsidRDefault="00A53378" w:rsidP="00254844">
            <w:pPr>
              <w:pStyle w:val="TableText"/>
              <w:keepNext/>
            </w:pPr>
            <w:r w:rsidRPr="00612923">
              <w:t>Greater Bay Area - Warm</w:t>
            </w:r>
          </w:p>
        </w:tc>
        <w:tc>
          <w:tcPr>
            <w:tcW w:w="383" w:type="pct"/>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659</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w:t>
            </w:r>
          </w:p>
        </w:tc>
        <w:tc>
          <w:tcPr>
            <w:tcW w:w="383" w:type="pct"/>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1,489</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3%</w:t>
            </w:r>
          </w:p>
        </w:tc>
        <w:tc>
          <w:tcPr>
            <w:tcW w:w="333" w:type="pct"/>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162</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w:t>
            </w:r>
          </w:p>
        </w:tc>
        <w:tc>
          <w:tcPr>
            <w:tcW w:w="383" w:type="pct"/>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5,038</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18%</w:t>
            </w:r>
          </w:p>
        </w:tc>
        <w:tc>
          <w:tcPr>
            <w:tcW w:w="383" w:type="pct"/>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821</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w:t>
            </w:r>
          </w:p>
        </w:tc>
        <w:tc>
          <w:tcPr>
            <w:tcW w:w="383" w:type="pct"/>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6,527</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8%</w:t>
            </w:r>
          </w:p>
        </w:tc>
      </w:tr>
      <w:tr w:rsidR="00A53378" w:rsidRPr="00612923" w:rsidTr="004A123C">
        <w:trPr>
          <w:trHeight w:val="300"/>
        </w:trPr>
        <w:tc>
          <w:tcPr>
            <w:tcW w:w="721" w:type="pct"/>
            <w:tcBorders>
              <w:top w:val="nil"/>
              <w:left w:val="single" w:sz="4" w:space="0" w:color="000000"/>
              <w:bottom w:val="single" w:sz="4" w:space="0" w:color="000000"/>
              <w:right w:val="nil"/>
            </w:tcBorders>
            <w:shd w:val="clear" w:color="auto" w:fill="auto"/>
            <w:vAlign w:val="center"/>
            <w:hideMark/>
          </w:tcPr>
          <w:p w:rsidR="00A53378" w:rsidRPr="00612923" w:rsidRDefault="00A53378" w:rsidP="00254844">
            <w:pPr>
              <w:pStyle w:val="TableText"/>
              <w:keepNext/>
            </w:pPr>
            <w:r w:rsidRPr="00612923">
              <w:t>Greater Fresno</w:t>
            </w:r>
          </w:p>
        </w:tc>
        <w:tc>
          <w:tcPr>
            <w:tcW w:w="383" w:type="pct"/>
            <w:tcBorders>
              <w:top w:val="nil"/>
              <w:left w:val="single" w:sz="4" w:space="0" w:color="auto"/>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2,322</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14%</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5,212</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10%</w:t>
            </w:r>
          </w:p>
        </w:tc>
        <w:tc>
          <w:tcPr>
            <w:tcW w:w="33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874</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19%</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3,174</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12%</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3,196</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15%</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8,386</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11%</w:t>
            </w:r>
          </w:p>
        </w:tc>
      </w:tr>
      <w:tr w:rsidR="00A53378" w:rsidRPr="00612923" w:rsidTr="004A123C">
        <w:trPr>
          <w:trHeight w:val="300"/>
        </w:trPr>
        <w:tc>
          <w:tcPr>
            <w:tcW w:w="721" w:type="pct"/>
            <w:tcBorders>
              <w:top w:val="nil"/>
              <w:left w:val="single" w:sz="4" w:space="0" w:color="000000"/>
              <w:bottom w:val="single" w:sz="4" w:space="0" w:color="000000"/>
              <w:right w:val="nil"/>
            </w:tcBorders>
            <w:shd w:val="clear" w:color="auto" w:fill="auto"/>
            <w:vAlign w:val="center"/>
            <w:hideMark/>
          </w:tcPr>
          <w:p w:rsidR="00A53378" w:rsidRPr="00612923" w:rsidRDefault="00A53378" w:rsidP="00254844">
            <w:pPr>
              <w:pStyle w:val="TableText"/>
              <w:keepNext/>
            </w:pPr>
            <w:r w:rsidRPr="00612923">
              <w:t>Kern</w:t>
            </w:r>
          </w:p>
        </w:tc>
        <w:tc>
          <w:tcPr>
            <w:tcW w:w="383" w:type="pct"/>
            <w:tcBorders>
              <w:top w:val="nil"/>
              <w:left w:val="single" w:sz="4" w:space="0" w:color="auto"/>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4,697</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29%</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5,823</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11%</w:t>
            </w:r>
          </w:p>
        </w:tc>
        <w:tc>
          <w:tcPr>
            <w:tcW w:w="33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1,003</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22%</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1,398</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5%</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5,700</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27%</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7,221</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9%</w:t>
            </w:r>
          </w:p>
        </w:tc>
      </w:tr>
      <w:tr w:rsidR="00A53378" w:rsidRPr="00612923" w:rsidTr="004A123C">
        <w:trPr>
          <w:trHeight w:val="300"/>
        </w:trPr>
        <w:tc>
          <w:tcPr>
            <w:tcW w:w="721" w:type="pct"/>
            <w:tcBorders>
              <w:top w:val="nil"/>
              <w:left w:val="single" w:sz="4" w:space="0" w:color="000000"/>
              <w:bottom w:val="single" w:sz="4" w:space="0" w:color="000000"/>
              <w:right w:val="nil"/>
            </w:tcBorders>
            <w:shd w:val="clear" w:color="auto" w:fill="auto"/>
            <w:vAlign w:val="center"/>
            <w:hideMark/>
          </w:tcPr>
          <w:p w:rsidR="00A53378" w:rsidRPr="00612923" w:rsidRDefault="00A53378" w:rsidP="00254844">
            <w:pPr>
              <w:pStyle w:val="TableText"/>
              <w:keepNext/>
            </w:pPr>
            <w:r w:rsidRPr="00612923">
              <w:t>Northern Coast</w:t>
            </w:r>
          </w:p>
        </w:tc>
        <w:tc>
          <w:tcPr>
            <w:tcW w:w="383" w:type="pct"/>
            <w:tcBorders>
              <w:top w:val="nil"/>
              <w:left w:val="single" w:sz="4" w:space="0" w:color="auto"/>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75</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0%</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2,540</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5%</w:t>
            </w:r>
          </w:p>
        </w:tc>
        <w:tc>
          <w:tcPr>
            <w:tcW w:w="33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9</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0%</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1,678</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6%</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84</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0%</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4,218</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5%</w:t>
            </w:r>
          </w:p>
        </w:tc>
      </w:tr>
      <w:tr w:rsidR="00A53378" w:rsidRPr="00612923" w:rsidTr="004A123C">
        <w:trPr>
          <w:trHeight w:val="300"/>
        </w:trPr>
        <w:tc>
          <w:tcPr>
            <w:tcW w:w="721" w:type="pct"/>
            <w:tcBorders>
              <w:top w:val="nil"/>
              <w:left w:val="single" w:sz="4" w:space="0" w:color="000000"/>
              <w:bottom w:val="single" w:sz="4" w:space="0" w:color="000000"/>
              <w:right w:val="nil"/>
            </w:tcBorders>
            <w:shd w:val="clear" w:color="auto" w:fill="auto"/>
            <w:vAlign w:val="center"/>
            <w:hideMark/>
          </w:tcPr>
          <w:p w:rsidR="00A53378" w:rsidRPr="00612923" w:rsidRDefault="00A53378" w:rsidP="00254844">
            <w:pPr>
              <w:pStyle w:val="TableText"/>
              <w:keepNext/>
            </w:pPr>
            <w:r w:rsidRPr="00612923">
              <w:t>Other</w:t>
            </w:r>
          </w:p>
        </w:tc>
        <w:tc>
          <w:tcPr>
            <w:tcW w:w="383" w:type="pct"/>
            <w:tcBorders>
              <w:top w:val="nil"/>
              <w:left w:val="single" w:sz="4" w:space="0" w:color="auto"/>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2,057</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13%</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7,998</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15%</w:t>
            </w:r>
          </w:p>
        </w:tc>
        <w:tc>
          <w:tcPr>
            <w:tcW w:w="33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845</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19%</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4,093</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15%</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2,902</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14%</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12,091</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15%</w:t>
            </w:r>
          </w:p>
        </w:tc>
      </w:tr>
      <w:tr w:rsidR="00A53378" w:rsidRPr="00612923" w:rsidTr="004A123C">
        <w:trPr>
          <w:trHeight w:val="300"/>
        </w:trPr>
        <w:tc>
          <w:tcPr>
            <w:tcW w:w="721" w:type="pct"/>
            <w:tcBorders>
              <w:top w:val="nil"/>
              <w:left w:val="single" w:sz="4" w:space="0" w:color="000000"/>
              <w:bottom w:val="single" w:sz="4" w:space="0" w:color="000000"/>
              <w:right w:val="nil"/>
            </w:tcBorders>
            <w:shd w:val="clear" w:color="auto" w:fill="auto"/>
            <w:vAlign w:val="center"/>
            <w:hideMark/>
          </w:tcPr>
          <w:p w:rsidR="00A53378" w:rsidRPr="00612923" w:rsidRDefault="00A53378" w:rsidP="00254844">
            <w:pPr>
              <w:pStyle w:val="TableText"/>
              <w:keepNext/>
            </w:pPr>
            <w:r w:rsidRPr="00612923">
              <w:t>Sierra</w:t>
            </w:r>
          </w:p>
        </w:tc>
        <w:tc>
          <w:tcPr>
            <w:tcW w:w="383" w:type="pct"/>
            <w:tcBorders>
              <w:top w:val="nil"/>
              <w:left w:val="single" w:sz="4" w:space="0" w:color="auto"/>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780</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5%</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4,062</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8%</w:t>
            </w:r>
          </w:p>
        </w:tc>
        <w:tc>
          <w:tcPr>
            <w:tcW w:w="33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474</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11%</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3,386</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12%</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1,254</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6%</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7,448</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9%</w:t>
            </w:r>
          </w:p>
        </w:tc>
      </w:tr>
      <w:tr w:rsidR="00A53378" w:rsidRPr="00612923" w:rsidTr="004A123C">
        <w:trPr>
          <w:trHeight w:val="300"/>
        </w:trPr>
        <w:tc>
          <w:tcPr>
            <w:tcW w:w="721" w:type="pct"/>
            <w:tcBorders>
              <w:top w:val="nil"/>
              <w:left w:val="single" w:sz="4" w:space="0" w:color="000000"/>
              <w:bottom w:val="single" w:sz="4" w:space="0" w:color="000000"/>
              <w:right w:val="nil"/>
            </w:tcBorders>
            <w:shd w:val="clear" w:color="auto" w:fill="auto"/>
            <w:vAlign w:val="center"/>
            <w:hideMark/>
          </w:tcPr>
          <w:p w:rsidR="00A53378" w:rsidRPr="00612923" w:rsidRDefault="00A53378" w:rsidP="00254844">
            <w:pPr>
              <w:pStyle w:val="TableText"/>
              <w:keepNext/>
            </w:pPr>
            <w:r w:rsidRPr="00612923">
              <w:t>Stockton</w:t>
            </w:r>
          </w:p>
        </w:tc>
        <w:tc>
          <w:tcPr>
            <w:tcW w:w="383" w:type="pct"/>
            <w:tcBorders>
              <w:top w:val="nil"/>
              <w:left w:val="single" w:sz="4" w:space="0" w:color="auto"/>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1,091</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7%</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4,211</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8%</w:t>
            </w:r>
          </w:p>
        </w:tc>
        <w:tc>
          <w:tcPr>
            <w:tcW w:w="33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856</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19%</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2,443</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9%</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1,947</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9%</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6,654</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254844">
            <w:pPr>
              <w:pStyle w:val="TableText"/>
              <w:keepNext/>
            </w:pPr>
            <w:r w:rsidRPr="00612923">
              <w:t>8%</w:t>
            </w:r>
          </w:p>
        </w:tc>
      </w:tr>
      <w:tr w:rsidR="00A53378" w:rsidRPr="00612923" w:rsidTr="004A123C">
        <w:trPr>
          <w:trHeight w:val="300"/>
        </w:trPr>
        <w:tc>
          <w:tcPr>
            <w:tcW w:w="721" w:type="pct"/>
            <w:tcBorders>
              <w:top w:val="nil"/>
              <w:left w:val="single" w:sz="4" w:space="0" w:color="000000"/>
              <w:bottom w:val="single" w:sz="4" w:space="0" w:color="000000"/>
              <w:right w:val="nil"/>
            </w:tcBorders>
            <w:shd w:val="clear" w:color="auto" w:fill="auto"/>
            <w:vAlign w:val="center"/>
            <w:hideMark/>
          </w:tcPr>
          <w:p w:rsidR="00A53378" w:rsidRPr="00612923" w:rsidRDefault="00A53378" w:rsidP="00701E06">
            <w:pPr>
              <w:pStyle w:val="TableText"/>
              <w:rPr>
                <w:b/>
                <w:bCs/>
              </w:rPr>
            </w:pPr>
            <w:r w:rsidRPr="00612923">
              <w:rPr>
                <w:b/>
                <w:bCs/>
              </w:rPr>
              <w:t>Total</w:t>
            </w:r>
          </w:p>
        </w:tc>
        <w:tc>
          <w:tcPr>
            <w:tcW w:w="383" w:type="pct"/>
            <w:tcBorders>
              <w:top w:val="nil"/>
              <w:left w:val="single" w:sz="4" w:space="0" w:color="auto"/>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16,321</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100%</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52,431</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100%</w:t>
            </w:r>
          </w:p>
        </w:tc>
        <w:tc>
          <w:tcPr>
            <w:tcW w:w="33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4,490</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100%</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27,328</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100%</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20,811</w:t>
            </w:r>
          </w:p>
        </w:tc>
        <w:tc>
          <w:tcPr>
            <w:tcW w:w="338"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100%</w:t>
            </w:r>
          </w:p>
        </w:tc>
        <w:tc>
          <w:tcPr>
            <w:tcW w:w="383"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79,759</w:t>
            </w:r>
          </w:p>
        </w:tc>
        <w:tc>
          <w:tcPr>
            <w:tcW w:w="339" w:type="pct"/>
            <w:tcBorders>
              <w:top w:val="nil"/>
              <w:left w:val="nil"/>
              <w:bottom w:val="single" w:sz="4" w:space="0" w:color="auto"/>
              <w:right w:val="single" w:sz="4" w:space="0" w:color="auto"/>
            </w:tcBorders>
            <w:shd w:val="clear" w:color="auto" w:fill="auto"/>
            <w:vAlign w:val="center"/>
            <w:hideMark/>
          </w:tcPr>
          <w:p w:rsidR="00A53378" w:rsidRPr="00612923" w:rsidRDefault="00A53378" w:rsidP="00701E06">
            <w:pPr>
              <w:pStyle w:val="TableText"/>
              <w:rPr>
                <w:b/>
                <w:bCs/>
              </w:rPr>
            </w:pPr>
            <w:r w:rsidRPr="00612923">
              <w:rPr>
                <w:b/>
                <w:bCs/>
              </w:rPr>
              <w:t>100%</w:t>
            </w:r>
          </w:p>
        </w:tc>
      </w:tr>
    </w:tbl>
    <w:p w:rsidR="00A53378" w:rsidRPr="00612923" w:rsidRDefault="00A53378" w:rsidP="00701E06">
      <w:pPr>
        <w:pStyle w:val="BodyParaAfterTableFigure"/>
      </w:pPr>
      <w:r w:rsidRPr="00612923">
        <w:t>As an additional illustration of this trend, FSC divided the entire service territory into cool and hot regions based on average summer temperatures by zip code.  In this tabulation, all of the Greater Bay Area falls into the cool region even though parts are quite a bit hotter than others.  Table 2-4 shows the proportion of customers in cool and hot zip codes for the SmartRate-only and dually-enrolled populations.  As the SmartRate program grew over the summer of 2012, the population became more concentrated in cooler areas.  At the end of 2011, 36% of SmartRate-only customers resided in cool zip codes.  By the end of 2012, 54% of these customers lived in cooler areas.  The difference is more pronounced in the dually-enrolled population where the population in cooler regions grew from 15% to 55% from 2011 to 2012.</w:t>
      </w:r>
    </w:p>
    <w:p w:rsidR="00A53378" w:rsidRPr="00612923" w:rsidRDefault="00A53378" w:rsidP="00701E06">
      <w:pPr>
        <w:pStyle w:val="TableFigureCaption"/>
      </w:pPr>
      <w:r w:rsidRPr="00612923">
        <w:t xml:space="preserve">Table 2-4: Comparison of 2011 and 2012 </w:t>
      </w:r>
      <w:r w:rsidR="00701E06" w:rsidRPr="00612923">
        <w:br/>
      </w:r>
      <w:r w:rsidRPr="00612923">
        <w:t>Participants by</w:t>
      </w:r>
      <w:r w:rsidR="00701E06" w:rsidRPr="00612923">
        <w:t xml:space="preserve"> </w:t>
      </w:r>
      <w:r w:rsidRPr="00612923">
        <w:t>Weather</w:t>
      </w:r>
    </w:p>
    <w:tbl>
      <w:tblPr>
        <w:tblW w:w="7180" w:type="dxa"/>
        <w:jc w:val="center"/>
        <w:tblInd w:w="93" w:type="dxa"/>
        <w:tblLook w:val="04A0"/>
      </w:tblPr>
      <w:tblGrid>
        <w:gridCol w:w="1060"/>
        <w:gridCol w:w="1010"/>
        <w:gridCol w:w="1010"/>
        <w:gridCol w:w="960"/>
        <w:gridCol w:w="960"/>
        <w:gridCol w:w="1090"/>
        <w:gridCol w:w="1090"/>
      </w:tblGrid>
      <w:tr w:rsidR="00A53378" w:rsidRPr="00612923" w:rsidTr="00A53378">
        <w:trPr>
          <w:trHeight w:val="300"/>
          <w:jc w:val="center"/>
        </w:trPr>
        <w:tc>
          <w:tcPr>
            <w:tcW w:w="1060" w:type="dxa"/>
            <w:vMerge w:val="restart"/>
            <w:tcBorders>
              <w:top w:val="single" w:sz="4" w:space="0" w:color="auto"/>
              <w:left w:val="single" w:sz="4" w:space="0" w:color="auto"/>
              <w:bottom w:val="single" w:sz="4" w:space="0" w:color="000000"/>
              <w:right w:val="single" w:sz="4" w:space="0" w:color="FFFFFF"/>
            </w:tcBorders>
            <w:shd w:val="clear" w:color="000000" w:fill="1F497D"/>
            <w:noWrap/>
            <w:vAlign w:val="center"/>
            <w:hideMark/>
          </w:tcPr>
          <w:p w:rsidR="00A53378" w:rsidRPr="00612923" w:rsidRDefault="00A53378" w:rsidP="00254844">
            <w:pPr>
              <w:pStyle w:val="TableHeader"/>
              <w:keepNext/>
            </w:pPr>
            <w:r w:rsidRPr="00612923">
              <w:t>Weather</w:t>
            </w:r>
          </w:p>
        </w:tc>
        <w:tc>
          <w:tcPr>
            <w:tcW w:w="2020" w:type="dxa"/>
            <w:gridSpan w:val="2"/>
            <w:tcBorders>
              <w:top w:val="single" w:sz="4" w:space="0" w:color="auto"/>
              <w:left w:val="nil"/>
              <w:bottom w:val="single" w:sz="4" w:space="0" w:color="FFFFFF"/>
              <w:right w:val="single" w:sz="4" w:space="0" w:color="FFFFFF"/>
            </w:tcBorders>
            <w:shd w:val="clear" w:color="000000" w:fill="1F497D"/>
            <w:noWrap/>
            <w:vAlign w:val="center"/>
            <w:hideMark/>
          </w:tcPr>
          <w:p w:rsidR="00A53378" w:rsidRPr="00612923" w:rsidRDefault="00A53378" w:rsidP="00254844">
            <w:pPr>
              <w:pStyle w:val="TableHeader"/>
              <w:keepNext/>
            </w:pPr>
            <w:r w:rsidRPr="00612923">
              <w:t>SMR Only</w:t>
            </w:r>
          </w:p>
        </w:tc>
        <w:tc>
          <w:tcPr>
            <w:tcW w:w="1920" w:type="dxa"/>
            <w:gridSpan w:val="2"/>
            <w:tcBorders>
              <w:top w:val="single" w:sz="4" w:space="0" w:color="auto"/>
              <w:left w:val="nil"/>
              <w:bottom w:val="single" w:sz="4" w:space="0" w:color="FFFFFF"/>
              <w:right w:val="single" w:sz="4" w:space="0" w:color="FFFFFF"/>
            </w:tcBorders>
            <w:shd w:val="clear" w:color="000000" w:fill="1F497D"/>
            <w:noWrap/>
            <w:vAlign w:val="center"/>
            <w:hideMark/>
          </w:tcPr>
          <w:p w:rsidR="00A53378" w:rsidRPr="00612923" w:rsidRDefault="00A53378" w:rsidP="00254844">
            <w:pPr>
              <w:pStyle w:val="TableHeader"/>
              <w:keepNext/>
            </w:pPr>
            <w:r w:rsidRPr="00612923">
              <w:t>Dually Enrolled</w:t>
            </w:r>
          </w:p>
        </w:tc>
        <w:tc>
          <w:tcPr>
            <w:tcW w:w="2180" w:type="dxa"/>
            <w:gridSpan w:val="2"/>
            <w:tcBorders>
              <w:top w:val="single" w:sz="4" w:space="0" w:color="auto"/>
              <w:left w:val="nil"/>
              <w:bottom w:val="single" w:sz="4" w:space="0" w:color="FFFFFF"/>
              <w:right w:val="single" w:sz="4" w:space="0" w:color="000000"/>
            </w:tcBorders>
            <w:shd w:val="clear" w:color="000000" w:fill="1F497D"/>
            <w:noWrap/>
            <w:vAlign w:val="center"/>
            <w:hideMark/>
          </w:tcPr>
          <w:p w:rsidR="00A53378" w:rsidRPr="00612923" w:rsidRDefault="00A53378" w:rsidP="00254844">
            <w:pPr>
              <w:pStyle w:val="TableHeader"/>
              <w:keepNext/>
            </w:pPr>
            <w:r w:rsidRPr="00612923">
              <w:t>All</w:t>
            </w:r>
          </w:p>
        </w:tc>
      </w:tr>
      <w:tr w:rsidR="00A53378" w:rsidRPr="00612923" w:rsidTr="00A53378">
        <w:trPr>
          <w:trHeight w:val="300"/>
          <w:jc w:val="center"/>
        </w:trPr>
        <w:tc>
          <w:tcPr>
            <w:tcW w:w="1060" w:type="dxa"/>
            <w:vMerge/>
            <w:tcBorders>
              <w:top w:val="single" w:sz="4" w:space="0" w:color="auto"/>
              <w:left w:val="single" w:sz="4" w:space="0" w:color="auto"/>
              <w:bottom w:val="single" w:sz="4" w:space="0" w:color="000000"/>
              <w:right w:val="single" w:sz="4" w:space="0" w:color="FFFFFF"/>
            </w:tcBorders>
            <w:vAlign w:val="center"/>
            <w:hideMark/>
          </w:tcPr>
          <w:p w:rsidR="00A53378" w:rsidRPr="00612923" w:rsidRDefault="00A53378" w:rsidP="00254844">
            <w:pPr>
              <w:pStyle w:val="TableHeader"/>
              <w:keepNext/>
            </w:pPr>
          </w:p>
        </w:tc>
        <w:tc>
          <w:tcPr>
            <w:tcW w:w="1010" w:type="dxa"/>
            <w:tcBorders>
              <w:top w:val="nil"/>
              <w:left w:val="nil"/>
              <w:bottom w:val="single" w:sz="4" w:space="0" w:color="auto"/>
              <w:right w:val="single" w:sz="4" w:space="0" w:color="FFFFFF"/>
            </w:tcBorders>
            <w:shd w:val="clear" w:color="000000" w:fill="1F497D"/>
            <w:noWrap/>
            <w:vAlign w:val="center"/>
            <w:hideMark/>
          </w:tcPr>
          <w:p w:rsidR="00A53378" w:rsidRPr="00612923" w:rsidRDefault="00A53378" w:rsidP="00254844">
            <w:pPr>
              <w:pStyle w:val="TableHeader"/>
              <w:keepNext/>
            </w:pPr>
            <w:r w:rsidRPr="00612923">
              <w:t>2011</w:t>
            </w:r>
          </w:p>
        </w:tc>
        <w:tc>
          <w:tcPr>
            <w:tcW w:w="1010" w:type="dxa"/>
            <w:tcBorders>
              <w:top w:val="nil"/>
              <w:left w:val="nil"/>
              <w:bottom w:val="single" w:sz="4" w:space="0" w:color="auto"/>
              <w:right w:val="single" w:sz="4" w:space="0" w:color="FFFFFF"/>
            </w:tcBorders>
            <w:shd w:val="clear" w:color="000000" w:fill="1F497D"/>
            <w:noWrap/>
            <w:vAlign w:val="center"/>
            <w:hideMark/>
          </w:tcPr>
          <w:p w:rsidR="00A53378" w:rsidRPr="00612923" w:rsidRDefault="00A53378" w:rsidP="00254844">
            <w:pPr>
              <w:pStyle w:val="TableHeader"/>
              <w:keepNext/>
            </w:pPr>
            <w:r w:rsidRPr="00612923">
              <w:t>2012</w:t>
            </w:r>
          </w:p>
        </w:tc>
        <w:tc>
          <w:tcPr>
            <w:tcW w:w="960" w:type="dxa"/>
            <w:tcBorders>
              <w:top w:val="nil"/>
              <w:left w:val="nil"/>
              <w:bottom w:val="single" w:sz="4" w:space="0" w:color="auto"/>
              <w:right w:val="single" w:sz="4" w:space="0" w:color="FFFFFF"/>
            </w:tcBorders>
            <w:shd w:val="clear" w:color="000000" w:fill="1F497D"/>
            <w:noWrap/>
            <w:vAlign w:val="center"/>
            <w:hideMark/>
          </w:tcPr>
          <w:p w:rsidR="00A53378" w:rsidRPr="00612923" w:rsidRDefault="00A53378" w:rsidP="00254844">
            <w:pPr>
              <w:pStyle w:val="TableHeader"/>
              <w:keepNext/>
            </w:pPr>
            <w:r w:rsidRPr="00612923">
              <w:t>2011</w:t>
            </w:r>
          </w:p>
        </w:tc>
        <w:tc>
          <w:tcPr>
            <w:tcW w:w="960" w:type="dxa"/>
            <w:tcBorders>
              <w:top w:val="nil"/>
              <w:left w:val="nil"/>
              <w:bottom w:val="single" w:sz="4" w:space="0" w:color="auto"/>
              <w:right w:val="single" w:sz="4" w:space="0" w:color="FFFFFF"/>
            </w:tcBorders>
            <w:shd w:val="clear" w:color="000000" w:fill="1F497D"/>
            <w:noWrap/>
            <w:vAlign w:val="center"/>
            <w:hideMark/>
          </w:tcPr>
          <w:p w:rsidR="00A53378" w:rsidRPr="00612923" w:rsidRDefault="00A53378" w:rsidP="00254844">
            <w:pPr>
              <w:pStyle w:val="TableHeader"/>
              <w:keepNext/>
            </w:pPr>
            <w:r w:rsidRPr="00612923">
              <w:t>2012</w:t>
            </w:r>
          </w:p>
        </w:tc>
        <w:tc>
          <w:tcPr>
            <w:tcW w:w="1090" w:type="dxa"/>
            <w:tcBorders>
              <w:top w:val="nil"/>
              <w:left w:val="nil"/>
              <w:bottom w:val="single" w:sz="4" w:space="0" w:color="auto"/>
              <w:right w:val="single" w:sz="4" w:space="0" w:color="FFFFFF"/>
            </w:tcBorders>
            <w:shd w:val="clear" w:color="000000" w:fill="1F497D"/>
            <w:noWrap/>
            <w:vAlign w:val="center"/>
            <w:hideMark/>
          </w:tcPr>
          <w:p w:rsidR="00A53378" w:rsidRPr="00612923" w:rsidRDefault="00A53378" w:rsidP="00254844">
            <w:pPr>
              <w:pStyle w:val="TableHeader"/>
              <w:keepNext/>
            </w:pPr>
            <w:r w:rsidRPr="00612923">
              <w:t>2011</w:t>
            </w:r>
          </w:p>
        </w:tc>
        <w:tc>
          <w:tcPr>
            <w:tcW w:w="1090" w:type="dxa"/>
            <w:tcBorders>
              <w:top w:val="nil"/>
              <w:left w:val="nil"/>
              <w:bottom w:val="single" w:sz="4" w:space="0" w:color="auto"/>
              <w:right w:val="single" w:sz="4" w:space="0" w:color="auto"/>
            </w:tcBorders>
            <w:shd w:val="clear" w:color="000000" w:fill="1F497D"/>
            <w:noWrap/>
            <w:vAlign w:val="center"/>
            <w:hideMark/>
          </w:tcPr>
          <w:p w:rsidR="00A53378" w:rsidRPr="00612923" w:rsidRDefault="00A53378" w:rsidP="00254844">
            <w:pPr>
              <w:pStyle w:val="TableHeader"/>
              <w:keepNext/>
            </w:pPr>
            <w:r w:rsidRPr="00612923">
              <w:t>2012</w:t>
            </w:r>
          </w:p>
        </w:tc>
      </w:tr>
      <w:tr w:rsidR="00A53378" w:rsidRPr="00612923" w:rsidTr="00A53378">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Cool</w:t>
            </w:r>
          </w:p>
        </w:tc>
        <w:tc>
          <w:tcPr>
            <w:tcW w:w="101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36%</w:t>
            </w:r>
          </w:p>
        </w:tc>
        <w:tc>
          <w:tcPr>
            <w:tcW w:w="101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54%</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15%</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55%</w:t>
            </w:r>
          </w:p>
        </w:tc>
        <w:tc>
          <w:tcPr>
            <w:tcW w:w="109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31%</w:t>
            </w:r>
          </w:p>
        </w:tc>
        <w:tc>
          <w:tcPr>
            <w:tcW w:w="109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254844">
            <w:pPr>
              <w:pStyle w:val="TableText"/>
              <w:keepNext/>
            </w:pPr>
            <w:r w:rsidRPr="00612923">
              <w:t>55%</w:t>
            </w:r>
          </w:p>
        </w:tc>
      </w:tr>
      <w:tr w:rsidR="00A53378" w:rsidRPr="00612923" w:rsidTr="00A53378">
        <w:trPr>
          <w:trHeight w:val="300"/>
          <w:jc w:val="center"/>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rsidR="00A53378" w:rsidRPr="00612923" w:rsidRDefault="00A53378" w:rsidP="00701E06">
            <w:pPr>
              <w:pStyle w:val="TableText"/>
            </w:pPr>
            <w:r w:rsidRPr="00612923">
              <w:t>Hot</w:t>
            </w:r>
          </w:p>
        </w:tc>
        <w:tc>
          <w:tcPr>
            <w:tcW w:w="101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701E06">
            <w:pPr>
              <w:pStyle w:val="TableText"/>
            </w:pPr>
            <w:r w:rsidRPr="00612923">
              <w:t>64%</w:t>
            </w:r>
          </w:p>
        </w:tc>
        <w:tc>
          <w:tcPr>
            <w:tcW w:w="101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701E06">
            <w:pPr>
              <w:pStyle w:val="TableText"/>
            </w:pPr>
            <w:r w:rsidRPr="00612923">
              <w:t>46%</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701E06">
            <w:pPr>
              <w:pStyle w:val="TableText"/>
            </w:pPr>
            <w:r w:rsidRPr="00612923">
              <w:t>85%</w:t>
            </w:r>
          </w:p>
        </w:tc>
        <w:tc>
          <w:tcPr>
            <w:tcW w:w="96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701E06">
            <w:pPr>
              <w:pStyle w:val="TableText"/>
            </w:pPr>
            <w:r w:rsidRPr="00612923">
              <w:t>45%</w:t>
            </w:r>
          </w:p>
        </w:tc>
        <w:tc>
          <w:tcPr>
            <w:tcW w:w="109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701E06">
            <w:pPr>
              <w:pStyle w:val="TableText"/>
            </w:pPr>
            <w:r w:rsidRPr="00612923">
              <w:t>69%</w:t>
            </w:r>
          </w:p>
        </w:tc>
        <w:tc>
          <w:tcPr>
            <w:tcW w:w="1090" w:type="dxa"/>
            <w:tcBorders>
              <w:top w:val="nil"/>
              <w:left w:val="nil"/>
              <w:bottom w:val="single" w:sz="4" w:space="0" w:color="auto"/>
              <w:right w:val="single" w:sz="4" w:space="0" w:color="auto"/>
            </w:tcBorders>
            <w:shd w:val="clear" w:color="auto" w:fill="auto"/>
            <w:noWrap/>
            <w:vAlign w:val="center"/>
            <w:hideMark/>
          </w:tcPr>
          <w:p w:rsidR="00A53378" w:rsidRPr="00612923" w:rsidRDefault="00A53378" w:rsidP="00701E06">
            <w:pPr>
              <w:pStyle w:val="TableText"/>
            </w:pPr>
            <w:r w:rsidRPr="00612923">
              <w:t>45%</w:t>
            </w:r>
          </w:p>
        </w:tc>
      </w:tr>
    </w:tbl>
    <w:p w:rsidR="00A53378" w:rsidRPr="00612923" w:rsidRDefault="00A53378" w:rsidP="00701E06">
      <w:pPr>
        <w:pStyle w:val="Heading2"/>
        <w:spacing w:before="360"/>
      </w:pPr>
      <w:bookmarkStart w:id="18" w:name="_Toc349193877"/>
      <w:bookmarkStart w:id="19" w:name="_Toc352567292"/>
      <w:r w:rsidRPr="00612923">
        <w:t>TOU Overview</w:t>
      </w:r>
      <w:bookmarkEnd w:id="18"/>
      <w:bookmarkEnd w:id="19"/>
    </w:p>
    <w:p w:rsidR="00A53378" w:rsidRPr="00612923" w:rsidRDefault="00A53378" w:rsidP="00701E06">
      <w:pPr>
        <w:pStyle w:val="BodyParagraph"/>
      </w:pPr>
      <w:r w:rsidRPr="00612923">
        <w:t xml:space="preserve">The E-7 tariff is a two-period rate, with a peak period from 12 to 6 PM on weekdays and off-peak prices in effect at all other times.  The peak period is the same the entire year, although rates change seasonally.  Summer rates are in effect from May 1 through October 31.  The rate has been closed to new customers since 2007 and the number of customers on the rate has been steadily decreasing as existing customers close their accounts or change rates.  </w:t>
      </w:r>
    </w:p>
    <w:p w:rsidR="00A53378" w:rsidRPr="00612923" w:rsidRDefault="00A53378" w:rsidP="00A53378">
      <w:pPr>
        <w:pStyle w:val="BodyParagraph"/>
      </w:pPr>
      <w:r w:rsidRPr="00612923">
        <w:lastRenderedPageBreak/>
        <w:t>The E-7 tariff was replaced by the E-6 tariff, which is a three-period TOU rate with rate periods that vary by season.  During summer weekdays, the peak period is from 1 PM to 7 PM, and the partial peak period is from 10 AM to 1 PM and 7 PM to 9 PM; there is another partial peak from 5 PM to 8 PM on Saturdays and Sundays.  All other hours are priced at the off-peak rate.  In the winter, peak period prices do not apply, and partial peak prices occur from 5 PM to 8 PM on weekdays only.  All other hours are at off-peak prices.</w:t>
      </w:r>
    </w:p>
    <w:p w:rsidR="00A53378" w:rsidRPr="00612923" w:rsidRDefault="00A53378" w:rsidP="00A53378">
      <w:pPr>
        <w:pStyle w:val="BodyParagraph"/>
      </w:pPr>
      <w:r w:rsidRPr="00612923">
        <w:t xml:space="preserve">There are two versions of both E-7 and E-6: one for CARE customers and one for non-CARE customers.  In addition, as with all California utilities, residential customers are charged more for electricity use above a certain baseline level each month to encourage conservation.  Different prices apply as customers exceed the baseline level by 100%, 130%, 200% and 300%.  Each of these percentage breaks is known as a tier.  The baseline level varies by climate region and takes into account whether customers live in homes that receive both electric and gas service or receive all electric service. </w:t>
      </w:r>
    </w:p>
    <w:p w:rsidR="00A53378" w:rsidRPr="00612923" w:rsidRDefault="00A53378" w:rsidP="00A53378">
      <w:pPr>
        <w:pStyle w:val="BodyParagraph"/>
      </w:pPr>
      <w:r w:rsidRPr="00612923">
        <w:t xml:space="preserve">Figure 2-1 illustrates the variation in prices across hours of the day for both rates.  For simplicity, the figure only plots the hourly prices for summer weekdays, assuming </w:t>
      </w:r>
      <w:r w:rsidR="00017875" w:rsidRPr="00612923">
        <w:t>T</w:t>
      </w:r>
      <w:r w:rsidRPr="00612923">
        <w:t>ier 2 usage levels (usage between 100% and 130% of the baseline level).  During peak hours, the E-7 price signal is stronger than the E-6 signal.  However, E-6 also includes a semi-peak period and encourages customers to shift loads for more hours.  For both E-6 and E-7, CARE customers experience lower prices across all rate periods.  Table 2-3 provides additional detail and shows the electricity price by rate period, tier and CARE status for E-6 and E</w:t>
      </w:r>
      <w:r w:rsidRPr="00612923">
        <w:noBreakHyphen/>
        <w:t>7 customers.</w:t>
      </w:r>
    </w:p>
    <w:p w:rsidR="00A53378" w:rsidRPr="00612923" w:rsidRDefault="00A53378" w:rsidP="00A53378">
      <w:pPr>
        <w:pStyle w:val="TableFigureCaption"/>
      </w:pPr>
      <w:r w:rsidRPr="00612923">
        <w:t>Figure 2-1: Illustrative E-7 and E-6 Summer Weekday Hourly Prices</w:t>
      </w:r>
    </w:p>
    <w:p w:rsidR="00701E06" w:rsidRPr="00612923" w:rsidRDefault="00A53378" w:rsidP="00701E06">
      <w:pPr>
        <w:pStyle w:val="BodyParagraph"/>
        <w:jc w:val="center"/>
      </w:pPr>
      <w:r w:rsidRPr="00612923">
        <w:rPr>
          <w:noProof/>
        </w:rPr>
        <w:drawing>
          <wp:inline distT="0" distB="0" distL="0" distR="0">
            <wp:extent cx="5934710" cy="2919095"/>
            <wp:effectExtent l="0" t="0" r="8890" b="0"/>
            <wp:docPr id="2"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a:blip r:embed="rId21" cstate="print"/>
                    <a:srcRect/>
                    <a:stretch>
                      <a:fillRect/>
                    </a:stretch>
                  </pic:blipFill>
                  <pic:spPr bwMode="auto">
                    <a:xfrm>
                      <a:off x="0" y="0"/>
                      <a:ext cx="5934710" cy="2919095"/>
                    </a:xfrm>
                    <a:prstGeom prst="rect">
                      <a:avLst/>
                    </a:prstGeom>
                    <a:noFill/>
                    <a:ln w="9525">
                      <a:noFill/>
                      <a:miter lim="800000"/>
                      <a:headEnd/>
                      <a:tailEnd/>
                    </a:ln>
                  </pic:spPr>
                </pic:pic>
              </a:graphicData>
            </a:graphic>
          </wp:inline>
        </w:drawing>
      </w:r>
    </w:p>
    <w:p w:rsidR="00701E06" w:rsidRPr="00612923" w:rsidRDefault="00701E06" w:rsidP="00701E06">
      <w:pPr>
        <w:pStyle w:val="BodyParagraph"/>
        <w:jc w:val="center"/>
        <w:sectPr w:rsidR="00701E06" w:rsidRPr="00612923" w:rsidSect="00C623D7">
          <w:footerReference w:type="default" r:id="rId22"/>
          <w:pgSz w:w="12240" w:h="15840"/>
          <w:pgMar w:top="1440" w:right="1440" w:bottom="1440" w:left="1440" w:header="720" w:footer="720" w:gutter="0"/>
          <w:pgNumType w:start="1"/>
          <w:cols w:space="720"/>
          <w:docGrid w:linePitch="360"/>
        </w:sectPr>
      </w:pPr>
    </w:p>
    <w:p w:rsidR="00701E06" w:rsidRPr="00612923" w:rsidRDefault="00701E06" w:rsidP="00701E06">
      <w:pPr>
        <w:pStyle w:val="TableFigureCaption"/>
      </w:pPr>
      <w:r w:rsidRPr="00612923">
        <w:lastRenderedPageBreak/>
        <w:t>Table 2-3: E-6 and E-7 Prices</w:t>
      </w:r>
      <w:r w:rsidR="00237859" w:rsidRPr="00612923">
        <w:rPr>
          <w:vertAlign w:val="superscript"/>
        </w:rPr>
        <w:footnoteReference w:id="9"/>
      </w:r>
    </w:p>
    <w:tbl>
      <w:tblPr>
        <w:tblW w:w="13068" w:type="dxa"/>
        <w:jc w:val="center"/>
        <w:tblLook w:val="04A0"/>
      </w:tblPr>
      <w:tblGrid>
        <w:gridCol w:w="1760"/>
        <w:gridCol w:w="1585"/>
        <w:gridCol w:w="1350"/>
        <w:gridCol w:w="1530"/>
        <w:gridCol w:w="1173"/>
        <w:gridCol w:w="1083"/>
        <w:gridCol w:w="1083"/>
        <w:gridCol w:w="1083"/>
        <w:gridCol w:w="1251"/>
        <w:gridCol w:w="1170"/>
      </w:tblGrid>
      <w:tr w:rsidR="00701E06" w:rsidRPr="00612923" w:rsidTr="00701E06">
        <w:trPr>
          <w:trHeight w:val="315"/>
          <w:jc w:val="center"/>
        </w:trPr>
        <w:tc>
          <w:tcPr>
            <w:tcW w:w="1760" w:type="dxa"/>
            <w:vMerge w:val="restart"/>
            <w:tcBorders>
              <w:top w:val="single" w:sz="4" w:space="0" w:color="auto"/>
              <w:left w:val="single" w:sz="4" w:space="0" w:color="auto"/>
              <w:bottom w:val="single" w:sz="4" w:space="0" w:color="000000"/>
              <w:right w:val="single" w:sz="4" w:space="0" w:color="FFFFFF"/>
            </w:tcBorders>
            <w:shd w:val="clear" w:color="000000" w:fill="1F497D"/>
            <w:vAlign w:val="center"/>
            <w:hideMark/>
          </w:tcPr>
          <w:p w:rsidR="00701E06" w:rsidRPr="00612923" w:rsidRDefault="00701E06" w:rsidP="00254844">
            <w:pPr>
              <w:pStyle w:val="TableHeader"/>
              <w:keepNext/>
            </w:pPr>
            <w:r w:rsidRPr="00612923">
              <w:t>Rate</w:t>
            </w:r>
          </w:p>
        </w:tc>
        <w:tc>
          <w:tcPr>
            <w:tcW w:w="1585"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701E06" w:rsidRPr="00612923" w:rsidRDefault="00701E06" w:rsidP="00254844">
            <w:pPr>
              <w:pStyle w:val="TableHeader"/>
              <w:keepNext/>
            </w:pPr>
            <w:r w:rsidRPr="00612923">
              <w:t>Rate Description</w:t>
            </w:r>
          </w:p>
        </w:tc>
        <w:tc>
          <w:tcPr>
            <w:tcW w:w="135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701E06" w:rsidRPr="00612923" w:rsidRDefault="00701E06" w:rsidP="00254844">
            <w:pPr>
              <w:pStyle w:val="TableHeader"/>
              <w:keepNext/>
            </w:pPr>
            <w:r w:rsidRPr="00612923">
              <w:t>Season</w:t>
            </w:r>
          </w:p>
        </w:tc>
        <w:tc>
          <w:tcPr>
            <w:tcW w:w="153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701E06" w:rsidRPr="00612923" w:rsidRDefault="00701E06" w:rsidP="00254844">
            <w:pPr>
              <w:pStyle w:val="TableHeader"/>
              <w:keepNext/>
            </w:pPr>
            <w:r w:rsidRPr="00612923">
              <w:t>TOU Period</w:t>
            </w:r>
          </w:p>
        </w:tc>
        <w:tc>
          <w:tcPr>
            <w:tcW w:w="5673" w:type="dxa"/>
            <w:gridSpan w:val="5"/>
            <w:tcBorders>
              <w:top w:val="single" w:sz="4" w:space="0" w:color="auto"/>
              <w:left w:val="nil"/>
              <w:bottom w:val="single" w:sz="4" w:space="0" w:color="FFFFFF"/>
              <w:right w:val="single" w:sz="4" w:space="0" w:color="FFFFFF"/>
            </w:tcBorders>
            <w:shd w:val="clear" w:color="000000" w:fill="1F497D"/>
            <w:vAlign w:val="center"/>
            <w:hideMark/>
          </w:tcPr>
          <w:p w:rsidR="00701E06" w:rsidRPr="00612923" w:rsidRDefault="00701E06" w:rsidP="00254844">
            <w:pPr>
              <w:pStyle w:val="TableHeader"/>
              <w:keepNext/>
            </w:pPr>
            <w:r w:rsidRPr="00612923">
              <w:t>Energy Charge (¢/kWh)</w:t>
            </w:r>
          </w:p>
        </w:tc>
        <w:tc>
          <w:tcPr>
            <w:tcW w:w="1170" w:type="dxa"/>
            <w:vMerge w:val="restart"/>
            <w:tcBorders>
              <w:top w:val="single" w:sz="4" w:space="0" w:color="auto"/>
              <w:left w:val="single" w:sz="4" w:space="0" w:color="FFFFFF"/>
              <w:bottom w:val="single" w:sz="4" w:space="0" w:color="000000"/>
              <w:right w:val="single" w:sz="4" w:space="0" w:color="auto"/>
            </w:tcBorders>
            <w:shd w:val="clear" w:color="000000" w:fill="1F497D"/>
            <w:vAlign w:val="center"/>
            <w:hideMark/>
          </w:tcPr>
          <w:p w:rsidR="00701E06" w:rsidRPr="00612923" w:rsidRDefault="00701E06" w:rsidP="00701E06">
            <w:pPr>
              <w:pStyle w:val="TableHeader"/>
            </w:pPr>
            <w:r w:rsidRPr="00612923">
              <w:t>Average Total Rate (¢/kWh) Rate Sheet</w:t>
            </w:r>
          </w:p>
        </w:tc>
      </w:tr>
      <w:tr w:rsidR="00701E06" w:rsidRPr="00612923" w:rsidTr="00701E06">
        <w:trPr>
          <w:trHeight w:val="315"/>
          <w:jc w:val="center"/>
        </w:trPr>
        <w:tc>
          <w:tcPr>
            <w:tcW w:w="1760" w:type="dxa"/>
            <w:vMerge/>
            <w:tcBorders>
              <w:top w:val="single" w:sz="4" w:space="0" w:color="auto"/>
              <w:left w:val="single" w:sz="4" w:space="0" w:color="auto"/>
              <w:bottom w:val="single" w:sz="4" w:space="0" w:color="000000"/>
              <w:right w:val="single" w:sz="4" w:space="0" w:color="FFFFFF"/>
            </w:tcBorders>
            <w:vAlign w:val="center"/>
            <w:hideMark/>
          </w:tcPr>
          <w:p w:rsidR="00701E06" w:rsidRPr="00612923" w:rsidRDefault="00701E06" w:rsidP="00254844">
            <w:pPr>
              <w:pStyle w:val="TableHeader"/>
              <w:keepNext/>
            </w:pPr>
          </w:p>
        </w:tc>
        <w:tc>
          <w:tcPr>
            <w:tcW w:w="1585" w:type="dxa"/>
            <w:vMerge/>
            <w:tcBorders>
              <w:top w:val="single" w:sz="4" w:space="0" w:color="auto"/>
              <w:left w:val="single" w:sz="4" w:space="0" w:color="FFFFFF"/>
              <w:bottom w:val="single" w:sz="4" w:space="0" w:color="000000"/>
              <w:right w:val="single" w:sz="4" w:space="0" w:color="FFFFFF"/>
            </w:tcBorders>
            <w:vAlign w:val="center"/>
            <w:hideMark/>
          </w:tcPr>
          <w:p w:rsidR="00701E06" w:rsidRPr="00612923" w:rsidRDefault="00701E06" w:rsidP="00254844">
            <w:pPr>
              <w:pStyle w:val="TableHeader"/>
              <w:keepNext/>
            </w:pPr>
          </w:p>
        </w:tc>
        <w:tc>
          <w:tcPr>
            <w:tcW w:w="1350" w:type="dxa"/>
            <w:vMerge/>
            <w:tcBorders>
              <w:top w:val="single" w:sz="4" w:space="0" w:color="auto"/>
              <w:left w:val="single" w:sz="4" w:space="0" w:color="FFFFFF"/>
              <w:bottom w:val="single" w:sz="4" w:space="0" w:color="000000"/>
              <w:right w:val="single" w:sz="4" w:space="0" w:color="FFFFFF"/>
            </w:tcBorders>
            <w:vAlign w:val="center"/>
            <w:hideMark/>
          </w:tcPr>
          <w:p w:rsidR="00701E06" w:rsidRPr="00612923" w:rsidRDefault="00701E06" w:rsidP="00254844">
            <w:pPr>
              <w:pStyle w:val="TableHeader"/>
              <w:keepNext/>
            </w:pPr>
          </w:p>
        </w:tc>
        <w:tc>
          <w:tcPr>
            <w:tcW w:w="1530" w:type="dxa"/>
            <w:vMerge/>
            <w:tcBorders>
              <w:top w:val="single" w:sz="4" w:space="0" w:color="auto"/>
              <w:left w:val="single" w:sz="4" w:space="0" w:color="FFFFFF"/>
              <w:bottom w:val="single" w:sz="4" w:space="0" w:color="000000"/>
              <w:right w:val="single" w:sz="4" w:space="0" w:color="FFFFFF"/>
            </w:tcBorders>
            <w:vAlign w:val="center"/>
            <w:hideMark/>
          </w:tcPr>
          <w:p w:rsidR="00701E06" w:rsidRPr="00612923" w:rsidRDefault="00701E06" w:rsidP="00254844">
            <w:pPr>
              <w:pStyle w:val="TableHeader"/>
              <w:keepNext/>
            </w:pPr>
          </w:p>
        </w:tc>
        <w:tc>
          <w:tcPr>
            <w:tcW w:w="1173" w:type="dxa"/>
            <w:vMerge w:val="restart"/>
            <w:tcBorders>
              <w:top w:val="nil"/>
              <w:left w:val="single" w:sz="4" w:space="0" w:color="FFFFFF"/>
              <w:bottom w:val="single" w:sz="4" w:space="0" w:color="000000"/>
              <w:right w:val="single" w:sz="4" w:space="0" w:color="FFFFFF"/>
            </w:tcBorders>
            <w:shd w:val="clear" w:color="000000" w:fill="1F497D"/>
            <w:vAlign w:val="center"/>
            <w:hideMark/>
          </w:tcPr>
          <w:p w:rsidR="00701E06" w:rsidRPr="00612923" w:rsidRDefault="00701E06" w:rsidP="00254844">
            <w:pPr>
              <w:pStyle w:val="TableHeader"/>
              <w:keepNext/>
            </w:pPr>
            <w:r w:rsidRPr="00612923">
              <w:t>Tier 1 (baseline)</w:t>
            </w:r>
          </w:p>
        </w:tc>
        <w:tc>
          <w:tcPr>
            <w:tcW w:w="1083" w:type="dxa"/>
            <w:tcBorders>
              <w:top w:val="nil"/>
              <w:left w:val="nil"/>
              <w:bottom w:val="single" w:sz="4" w:space="0" w:color="FFFFFF"/>
              <w:right w:val="single" w:sz="4" w:space="0" w:color="FFFFFF"/>
            </w:tcBorders>
            <w:shd w:val="clear" w:color="000000" w:fill="1F497D"/>
            <w:vAlign w:val="center"/>
            <w:hideMark/>
          </w:tcPr>
          <w:p w:rsidR="00701E06" w:rsidRPr="00612923" w:rsidRDefault="00701E06" w:rsidP="00254844">
            <w:pPr>
              <w:pStyle w:val="TableHeader"/>
              <w:keepNext/>
            </w:pPr>
            <w:r w:rsidRPr="00612923">
              <w:t>Tier 2</w:t>
            </w:r>
          </w:p>
        </w:tc>
        <w:tc>
          <w:tcPr>
            <w:tcW w:w="1083" w:type="dxa"/>
            <w:tcBorders>
              <w:top w:val="nil"/>
              <w:left w:val="nil"/>
              <w:bottom w:val="single" w:sz="4" w:space="0" w:color="FFFFFF"/>
              <w:right w:val="single" w:sz="4" w:space="0" w:color="FFFFFF"/>
            </w:tcBorders>
            <w:shd w:val="clear" w:color="000000" w:fill="1F497D"/>
            <w:vAlign w:val="center"/>
            <w:hideMark/>
          </w:tcPr>
          <w:p w:rsidR="00701E06" w:rsidRPr="00612923" w:rsidRDefault="00701E06" w:rsidP="00254844">
            <w:pPr>
              <w:pStyle w:val="TableHeader"/>
              <w:keepNext/>
            </w:pPr>
            <w:r w:rsidRPr="00612923">
              <w:t>Tier 3</w:t>
            </w:r>
          </w:p>
        </w:tc>
        <w:tc>
          <w:tcPr>
            <w:tcW w:w="1083" w:type="dxa"/>
            <w:tcBorders>
              <w:top w:val="nil"/>
              <w:left w:val="nil"/>
              <w:bottom w:val="single" w:sz="4" w:space="0" w:color="FFFFFF"/>
              <w:right w:val="single" w:sz="4" w:space="0" w:color="FFFFFF"/>
            </w:tcBorders>
            <w:shd w:val="clear" w:color="000000" w:fill="1F497D"/>
            <w:vAlign w:val="center"/>
            <w:hideMark/>
          </w:tcPr>
          <w:p w:rsidR="00701E06" w:rsidRPr="00612923" w:rsidRDefault="00701E06" w:rsidP="00254844">
            <w:pPr>
              <w:pStyle w:val="TableHeader"/>
              <w:keepNext/>
            </w:pPr>
            <w:r w:rsidRPr="00612923">
              <w:t>Tier 4</w:t>
            </w:r>
          </w:p>
        </w:tc>
        <w:tc>
          <w:tcPr>
            <w:tcW w:w="1251" w:type="dxa"/>
            <w:tcBorders>
              <w:top w:val="nil"/>
              <w:left w:val="nil"/>
              <w:bottom w:val="single" w:sz="4" w:space="0" w:color="FFFFFF"/>
              <w:right w:val="single" w:sz="4" w:space="0" w:color="FFFFFF"/>
            </w:tcBorders>
            <w:shd w:val="clear" w:color="000000" w:fill="1F497D"/>
            <w:vAlign w:val="center"/>
            <w:hideMark/>
          </w:tcPr>
          <w:p w:rsidR="00701E06" w:rsidRPr="00612923" w:rsidRDefault="00701E06" w:rsidP="00254844">
            <w:pPr>
              <w:pStyle w:val="TableHeader"/>
              <w:keepNext/>
            </w:pPr>
            <w:r w:rsidRPr="00612923">
              <w:t>Tier 5</w:t>
            </w:r>
          </w:p>
        </w:tc>
        <w:tc>
          <w:tcPr>
            <w:tcW w:w="1170" w:type="dxa"/>
            <w:vMerge/>
            <w:tcBorders>
              <w:top w:val="single" w:sz="4" w:space="0" w:color="auto"/>
              <w:left w:val="single" w:sz="4" w:space="0" w:color="FFFFFF"/>
              <w:bottom w:val="single" w:sz="4" w:space="0" w:color="000000"/>
              <w:right w:val="single" w:sz="4" w:space="0" w:color="auto"/>
            </w:tcBorders>
            <w:vAlign w:val="center"/>
            <w:hideMark/>
          </w:tcPr>
          <w:p w:rsidR="00701E06" w:rsidRPr="00612923" w:rsidRDefault="00701E06" w:rsidP="00701E06">
            <w:pPr>
              <w:pStyle w:val="TableHeader"/>
            </w:pPr>
          </w:p>
        </w:tc>
      </w:tr>
      <w:tr w:rsidR="00701E06" w:rsidRPr="00612923" w:rsidTr="00701E06">
        <w:trPr>
          <w:trHeight w:val="1020"/>
          <w:jc w:val="center"/>
        </w:trPr>
        <w:tc>
          <w:tcPr>
            <w:tcW w:w="1760" w:type="dxa"/>
            <w:vMerge/>
            <w:tcBorders>
              <w:top w:val="single" w:sz="4" w:space="0" w:color="auto"/>
              <w:left w:val="single" w:sz="4" w:space="0" w:color="auto"/>
              <w:bottom w:val="single" w:sz="4" w:space="0" w:color="000000"/>
              <w:right w:val="single" w:sz="4" w:space="0" w:color="FFFFFF"/>
            </w:tcBorders>
            <w:vAlign w:val="center"/>
            <w:hideMark/>
          </w:tcPr>
          <w:p w:rsidR="00701E06" w:rsidRPr="00612923" w:rsidRDefault="00701E06" w:rsidP="00254844">
            <w:pPr>
              <w:pStyle w:val="TableHeader"/>
              <w:keepNext/>
            </w:pPr>
          </w:p>
        </w:tc>
        <w:tc>
          <w:tcPr>
            <w:tcW w:w="1585" w:type="dxa"/>
            <w:vMerge/>
            <w:tcBorders>
              <w:top w:val="single" w:sz="4" w:space="0" w:color="auto"/>
              <w:left w:val="single" w:sz="4" w:space="0" w:color="FFFFFF"/>
              <w:bottom w:val="single" w:sz="4" w:space="0" w:color="000000"/>
              <w:right w:val="single" w:sz="4" w:space="0" w:color="FFFFFF"/>
            </w:tcBorders>
            <w:vAlign w:val="center"/>
            <w:hideMark/>
          </w:tcPr>
          <w:p w:rsidR="00701E06" w:rsidRPr="00612923" w:rsidRDefault="00701E06" w:rsidP="00254844">
            <w:pPr>
              <w:pStyle w:val="TableHeader"/>
              <w:keepNext/>
            </w:pPr>
          </w:p>
        </w:tc>
        <w:tc>
          <w:tcPr>
            <w:tcW w:w="1350" w:type="dxa"/>
            <w:vMerge/>
            <w:tcBorders>
              <w:top w:val="single" w:sz="4" w:space="0" w:color="auto"/>
              <w:left w:val="single" w:sz="4" w:space="0" w:color="FFFFFF"/>
              <w:bottom w:val="single" w:sz="4" w:space="0" w:color="000000"/>
              <w:right w:val="single" w:sz="4" w:space="0" w:color="FFFFFF"/>
            </w:tcBorders>
            <w:vAlign w:val="center"/>
            <w:hideMark/>
          </w:tcPr>
          <w:p w:rsidR="00701E06" w:rsidRPr="00612923" w:rsidRDefault="00701E06" w:rsidP="00254844">
            <w:pPr>
              <w:pStyle w:val="TableHeader"/>
              <w:keepNext/>
            </w:pPr>
          </w:p>
        </w:tc>
        <w:tc>
          <w:tcPr>
            <w:tcW w:w="1530" w:type="dxa"/>
            <w:vMerge/>
            <w:tcBorders>
              <w:top w:val="single" w:sz="4" w:space="0" w:color="auto"/>
              <w:left w:val="single" w:sz="4" w:space="0" w:color="FFFFFF"/>
              <w:bottom w:val="single" w:sz="4" w:space="0" w:color="000000"/>
              <w:right w:val="single" w:sz="4" w:space="0" w:color="FFFFFF"/>
            </w:tcBorders>
            <w:vAlign w:val="center"/>
            <w:hideMark/>
          </w:tcPr>
          <w:p w:rsidR="00701E06" w:rsidRPr="00612923" w:rsidRDefault="00701E06" w:rsidP="00254844">
            <w:pPr>
              <w:pStyle w:val="TableHeader"/>
              <w:keepNext/>
            </w:pPr>
          </w:p>
        </w:tc>
        <w:tc>
          <w:tcPr>
            <w:tcW w:w="1173" w:type="dxa"/>
            <w:vMerge/>
            <w:tcBorders>
              <w:top w:val="nil"/>
              <w:left w:val="single" w:sz="4" w:space="0" w:color="FFFFFF"/>
              <w:bottom w:val="single" w:sz="4" w:space="0" w:color="000000"/>
              <w:right w:val="single" w:sz="4" w:space="0" w:color="FFFFFF"/>
            </w:tcBorders>
            <w:vAlign w:val="center"/>
            <w:hideMark/>
          </w:tcPr>
          <w:p w:rsidR="00701E06" w:rsidRPr="00612923" w:rsidRDefault="00701E06" w:rsidP="00254844">
            <w:pPr>
              <w:pStyle w:val="TableHeader"/>
              <w:keepNext/>
            </w:pPr>
          </w:p>
        </w:tc>
        <w:tc>
          <w:tcPr>
            <w:tcW w:w="1083" w:type="dxa"/>
            <w:tcBorders>
              <w:top w:val="nil"/>
              <w:left w:val="nil"/>
              <w:bottom w:val="single" w:sz="4" w:space="0" w:color="auto"/>
              <w:right w:val="single" w:sz="4" w:space="0" w:color="FFFFFF"/>
            </w:tcBorders>
            <w:shd w:val="clear" w:color="000000" w:fill="1F497D"/>
            <w:vAlign w:val="center"/>
            <w:hideMark/>
          </w:tcPr>
          <w:p w:rsidR="00701E06" w:rsidRPr="00612923" w:rsidRDefault="00701E06" w:rsidP="00254844">
            <w:pPr>
              <w:pStyle w:val="TableHeader"/>
              <w:keepNext/>
            </w:pPr>
            <w:r w:rsidRPr="00612923">
              <w:t>(101- 130% of baseline)</w:t>
            </w:r>
          </w:p>
        </w:tc>
        <w:tc>
          <w:tcPr>
            <w:tcW w:w="1083" w:type="dxa"/>
            <w:tcBorders>
              <w:top w:val="nil"/>
              <w:left w:val="nil"/>
              <w:bottom w:val="single" w:sz="4" w:space="0" w:color="auto"/>
              <w:right w:val="single" w:sz="4" w:space="0" w:color="FFFFFF"/>
            </w:tcBorders>
            <w:shd w:val="clear" w:color="000000" w:fill="1F497D"/>
            <w:vAlign w:val="center"/>
            <w:hideMark/>
          </w:tcPr>
          <w:p w:rsidR="00701E06" w:rsidRPr="00612923" w:rsidRDefault="00701E06" w:rsidP="00254844">
            <w:pPr>
              <w:pStyle w:val="TableHeader"/>
              <w:keepNext/>
            </w:pPr>
            <w:r w:rsidRPr="00612923">
              <w:t>(131-200% of baseline)</w:t>
            </w:r>
          </w:p>
        </w:tc>
        <w:tc>
          <w:tcPr>
            <w:tcW w:w="1083" w:type="dxa"/>
            <w:tcBorders>
              <w:top w:val="nil"/>
              <w:left w:val="nil"/>
              <w:bottom w:val="single" w:sz="4" w:space="0" w:color="auto"/>
              <w:right w:val="single" w:sz="4" w:space="0" w:color="FFFFFF"/>
            </w:tcBorders>
            <w:shd w:val="clear" w:color="000000" w:fill="1F497D"/>
            <w:vAlign w:val="center"/>
            <w:hideMark/>
          </w:tcPr>
          <w:p w:rsidR="00701E06" w:rsidRPr="00612923" w:rsidRDefault="00701E06" w:rsidP="00254844">
            <w:pPr>
              <w:pStyle w:val="TableHeader"/>
              <w:keepNext/>
            </w:pPr>
            <w:r w:rsidRPr="00612923">
              <w:t>(201-300% of baseline)</w:t>
            </w:r>
          </w:p>
        </w:tc>
        <w:tc>
          <w:tcPr>
            <w:tcW w:w="1251" w:type="dxa"/>
            <w:tcBorders>
              <w:top w:val="nil"/>
              <w:left w:val="nil"/>
              <w:bottom w:val="single" w:sz="4" w:space="0" w:color="auto"/>
              <w:right w:val="single" w:sz="4" w:space="0" w:color="FFFFFF"/>
            </w:tcBorders>
            <w:shd w:val="clear" w:color="000000" w:fill="1F497D"/>
            <w:vAlign w:val="center"/>
            <w:hideMark/>
          </w:tcPr>
          <w:p w:rsidR="00701E06" w:rsidRPr="00612923" w:rsidRDefault="00701E06" w:rsidP="00254844">
            <w:pPr>
              <w:pStyle w:val="TableHeader"/>
              <w:keepNext/>
            </w:pPr>
            <w:r w:rsidRPr="00612923">
              <w:t>(300% of baseline+)</w:t>
            </w:r>
          </w:p>
        </w:tc>
        <w:tc>
          <w:tcPr>
            <w:tcW w:w="1170" w:type="dxa"/>
            <w:vMerge/>
            <w:tcBorders>
              <w:top w:val="single" w:sz="4" w:space="0" w:color="auto"/>
              <w:left w:val="single" w:sz="4" w:space="0" w:color="FFFFFF"/>
              <w:bottom w:val="single" w:sz="4" w:space="0" w:color="000000"/>
              <w:right w:val="single" w:sz="4" w:space="0" w:color="auto"/>
            </w:tcBorders>
            <w:vAlign w:val="center"/>
            <w:hideMark/>
          </w:tcPr>
          <w:p w:rsidR="00701E06" w:rsidRPr="00612923" w:rsidRDefault="00701E06" w:rsidP="00701E06">
            <w:pPr>
              <w:pStyle w:val="TableHeader"/>
            </w:pPr>
          </w:p>
        </w:tc>
      </w:tr>
      <w:tr w:rsidR="00701E06" w:rsidRPr="00612923" w:rsidTr="00701E06">
        <w:trPr>
          <w:trHeight w:val="300"/>
          <w:jc w:val="center"/>
        </w:trPr>
        <w:tc>
          <w:tcPr>
            <w:tcW w:w="1760" w:type="dxa"/>
            <w:vMerge w:val="restart"/>
            <w:tcBorders>
              <w:top w:val="nil"/>
              <w:left w:val="single" w:sz="4" w:space="0" w:color="auto"/>
              <w:bottom w:val="single" w:sz="4" w:space="0" w:color="auto"/>
              <w:right w:val="single" w:sz="4" w:space="0" w:color="auto"/>
            </w:tcBorders>
            <w:shd w:val="clear" w:color="000000" w:fill="FFFFFF"/>
            <w:vAlign w:val="center"/>
            <w:hideMark/>
          </w:tcPr>
          <w:p w:rsidR="00701E06" w:rsidRPr="00612923" w:rsidRDefault="00701E06" w:rsidP="00254844">
            <w:pPr>
              <w:pStyle w:val="TableText"/>
              <w:keepNext/>
            </w:pPr>
            <w:r w:rsidRPr="00612923">
              <w:t>E7</w:t>
            </w:r>
          </w:p>
        </w:tc>
        <w:tc>
          <w:tcPr>
            <w:tcW w:w="1585" w:type="dxa"/>
            <w:vMerge w:val="restart"/>
            <w:tcBorders>
              <w:top w:val="nil"/>
              <w:left w:val="single" w:sz="4" w:space="0" w:color="auto"/>
              <w:bottom w:val="single" w:sz="4" w:space="0" w:color="auto"/>
              <w:right w:val="single" w:sz="4" w:space="0" w:color="auto"/>
            </w:tcBorders>
            <w:shd w:val="clear" w:color="000000" w:fill="FFFFFF"/>
            <w:vAlign w:val="center"/>
            <w:hideMark/>
          </w:tcPr>
          <w:p w:rsidR="00701E06" w:rsidRPr="00612923" w:rsidRDefault="00701E06" w:rsidP="00254844">
            <w:pPr>
              <w:pStyle w:val="TableText"/>
              <w:keepNext/>
            </w:pPr>
            <w:r w:rsidRPr="00612923">
              <w:t>Residential time-of-use (4 periods)</w:t>
            </w:r>
          </w:p>
        </w:tc>
        <w:tc>
          <w:tcPr>
            <w:tcW w:w="135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Summer</w:t>
            </w: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31.3</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33.1</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48.1</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52.1</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52.1</w:t>
            </w:r>
          </w:p>
        </w:tc>
        <w:tc>
          <w:tcPr>
            <w:tcW w:w="1170" w:type="dxa"/>
            <w:vMerge w:val="restart"/>
            <w:tcBorders>
              <w:top w:val="nil"/>
              <w:left w:val="single" w:sz="4" w:space="0" w:color="auto"/>
              <w:bottom w:val="single" w:sz="4" w:space="0" w:color="auto"/>
              <w:right w:val="single" w:sz="4" w:space="0" w:color="auto"/>
            </w:tcBorders>
            <w:shd w:val="clear" w:color="auto" w:fill="auto"/>
            <w:vAlign w:val="center"/>
            <w:hideMark/>
          </w:tcPr>
          <w:p w:rsidR="00701E06" w:rsidRPr="00612923" w:rsidRDefault="00701E06" w:rsidP="00701E06">
            <w:pPr>
              <w:pStyle w:val="TableText"/>
            </w:pPr>
            <w:r w:rsidRPr="00612923">
              <w:t>16.3</w:t>
            </w: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Off-Peak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7.9</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9.7</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24.7</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28.7</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28.7</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Winter</w:t>
            </w: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11.1</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12.9</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27.9</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31.9</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31.9</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Off-Peak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8.3</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10.1</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25.0</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29.0</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29.0</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val="restart"/>
            <w:tcBorders>
              <w:top w:val="nil"/>
              <w:left w:val="single" w:sz="4" w:space="0" w:color="auto"/>
              <w:bottom w:val="single" w:sz="4" w:space="0" w:color="auto"/>
              <w:right w:val="single" w:sz="4" w:space="0" w:color="auto"/>
            </w:tcBorders>
            <w:shd w:val="clear" w:color="000000" w:fill="FFFFFF"/>
            <w:vAlign w:val="center"/>
            <w:hideMark/>
          </w:tcPr>
          <w:p w:rsidR="00701E06" w:rsidRPr="00612923" w:rsidRDefault="00701E06" w:rsidP="00254844">
            <w:pPr>
              <w:pStyle w:val="TableText"/>
              <w:keepNext/>
            </w:pPr>
            <w:r w:rsidRPr="00612923">
              <w:t>EL-7</w:t>
            </w:r>
          </w:p>
        </w:tc>
        <w:tc>
          <w:tcPr>
            <w:tcW w:w="1585" w:type="dxa"/>
            <w:vMerge w:val="restart"/>
            <w:tcBorders>
              <w:top w:val="nil"/>
              <w:left w:val="single" w:sz="4" w:space="0" w:color="auto"/>
              <w:bottom w:val="single" w:sz="4" w:space="0" w:color="auto"/>
              <w:right w:val="single" w:sz="4" w:space="0" w:color="auto"/>
            </w:tcBorders>
            <w:shd w:val="clear" w:color="000000" w:fill="FFFFFF"/>
            <w:vAlign w:val="center"/>
            <w:hideMark/>
          </w:tcPr>
          <w:p w:rsidR="00701E06" w:rsidRPr="00612923" w:rsidRDefault="00701E06" w:rsidP="00254844">
            <w:pPr>
              <w:pStyle w:val="TableText"/>
              <w:keepNext/>
            </w:pPr>
            <w:r w:rsidRPr="00612923">
              <w:t>Residential time-of-use, CARE (4 periods)</w:t>
            </w:r>
          </w:p>
        </w:tc>
        <w:tc>
          <w:tcPr>
            <w:tcW w:w="135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Summer</w:t>
            </w: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26.8</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28.4</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40.2</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40.2</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40.2</w:t>
            </w:r>
          </w:p>
        </w:tc>
        <w:tc>
          <w:tcPr>
            <w:tcW w:w="1170" w:type="dxa"/>
            <w:vMerge w:val="restart"/>
            <w:tcBorders>
              <w:top w:val="nil"/>
              <w:left w:val="single" w:sz="4" w:space="0" w:color="auto"/>
              <w:bottom w:val="single" w:sz="4" w:space="0" w:color="auto"/>
              <w:right w:val="single" w:sz="4" w:space="0" w:color="auto"/>
            </w:tcBorders>
            <w:shd w:val="clear" w:color="auto" w:fill="auto"/>
            <w:vAlign w:val="center"/>
            <w:hideMark/>
          </w:tcPr>
          <w:p w:rsidR="00701E06" w:rsidRPr="00612923" w:rsidRDefault="00701E06" w:rsidP="00701E06">
            <w:pPr>
              <w:pStyle w:val="TableText"/>
            </w:pPr>
            <w:r w:rsidRPr="00612923">
              <w:t>9.2</w:t>
            </w: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Off-Peak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6.1</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7.7</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9.2</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9.2</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9.2</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Winter</w:t>
            </w: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8.9</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10.5</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13.4</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13.4</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13.4</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Off-Peak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6.4</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8.0</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9.6</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9.6</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9.6</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E6</w:t>
            </w:r>
          </w:p>
        </w:tc>
        <w:tc>
          <w:tcPr>
            <w:tcW w:w="1585" w:type="dxa"/>
            <w:vMerge w:val="restart"/>
            <w:tcBorders>
              <w:top w:val="nil"/>
              <w:left w:val="single" w:sz="4" w:space="0" w:color="auto"/>
              <w:bottom w:val="single" w:sz="4" w:space="0" w:color="auto"/>
              <w:right w:val="single" w:sz="4" w:space="0" w:color="auto"/>
            </w:tcBorders>
            <w:shd w:val="clear" w:color="000000" w:fill="FFFFFF"/>
            <w:vAlign w:val="center"/>
            <w:hideMark/>
          </w:tcPr>
          <w:p w:rsidR="00701E06" w:rsidRPr="00612923" w:rsidRDefault="00701E06" w:rsidP="00254844">
            <w:pPr>
              <w:pStyle w:val="TableText"/>
              <w:keepNext/>
            </w:pPr>
            <w:r w:rsidRPr="00612923">
              <w:t>Residential time-of-use (6 periods)</w:t>
            </w:r>
          </w:p>
        </w:tc>
        <w:tc>
          <w:tcPr>
            <w:tcW w:w="135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Summer</w:t>
            </w: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27.9</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29.6</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44.7</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48.7</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48.7</w:t>
            </w:r>
          </w:p>
        </w:tc>
        <w:tc>
          <w:tcPr>
            <w:tcW w:w="1170" w:type="dxa"/>
            <w:vMerge w:val="restart"/>
            <w:tcBorders>
              <w:top w:val="nil"/>
              <w:left w:val="single" w:sz="4" w:space="0" w:color="auto"/>
              <w:bottom w:val="single" w:sz="4" w:space="0" w:color="auto"/>
              <w:right w:val="single" w:sz="4" w:space="0" w:color="auto"/>
            </w:tcBorders>
            <w:shd w:val="clear" w:color="auto" w:fill="auto"/>
            <w:vAlign w:val="center"/>
            <w:hideMark/>
          </w:tcPr>
          <w:p w:rsidR="00701E06" w:rsidRPr="00612923" w:rsidRDefault="00701E06" w:rsidP="00701E06">
            <w:pPr>
              <w:pStyle w:val="TableText"/>
            </w:pPr>
            <w:r w:rsidRPr="00612923">
              <w:t>18.6</w:t>
            </w: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Part-Peak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17.0</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18.8</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33.8</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37.8</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37.8</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Off-Peak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9.8</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11.5</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26.6</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30.6</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30.6</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Winter</w:t>
            </w: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Part-Peak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11.8</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13.5</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28.5</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32.5</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32.5</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Off-Peak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10.2</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11.9</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27.0</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31.0</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31.0</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EL-6</w:t>
            </w:r>
          </w:p>
        </w:tc>
        <w:tc>
          <w:tcPr>
            <w:tcW w:w="1585" w:type="dxa"/>
            <w:vMerge w:val="restart"/>
            <w:tcBorders>
              <w:top w:val="nil"/>
              <w:left w:val="single" w:sz="4" w:space="0" w:color="auto"/>
              <w:bottom w:val="single" w:sz="4" w:space="0" w:color="auto"/>
              <w:right w:val="single" w:sz="4" w:space="0" w:color="auto"/>
            </w:tcBorders>
            <w:shd w:val="clear" w:color="000000" w:fill="FFFFFF"/>
            <w:vAlign w:val="center"/>
            <w:hideMark/>
          </w:tcPr>
          <w:p w:rsidR="00701E06" w:rsidRPr="00612923" w:rsidRDefault="00701E06" w:rsidP="00254844">
            <w:pPr>
              <w:pStyle w:val="TableText"/>
              <w:keepNext/>
            </w:pPr>
            <w:r w:rsidRPr="00612923">
              <w:t>Residential time-of-use, CARE (6 periods)</w:t>
            </w:r>
          </w:p>
        </w:tc>
        <w:tc>
          <w:tcPr>
            <w:tcW w:w="135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Summer</w:t>
            </w: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19.7</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21.0</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29.5</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29.5</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29.5</w:t>
            </w:r>
          </w:p>
        </w:tc>
        <w:tc>
          <w:tcPr>
            <w:tcW w:w="1170" w:type="dxa"/>
            <w:vMerge w:val="restart"/>
            <w:tcBorders>
              <w:top w:val="nil"/>
              <w:left w:val="single" w:sz="4" w:space="0" w:color="auto"/>
              <w:bottom w:val="single" w:sz="4" w:space="0" w:color="auto"/>
              <w:right w:val="single" w:sz="4" w:space="0" w:color="auto"/>
            </w:tcBorders>
            <w:shd w:val="clear" w:color="auto" w:fill="auto"/>
            <w:vAlign w:val="center"/>
            <w:hideMark/>
          </w:tcPr>
          <w:p w:rsidR="00701E06" w:rsidRPr="00612923" w:rsidRDefault="00701E06" w:rsidP="00701E06">
            <w:pPr>
              <w:pStyle w:val="TableText"/>
            </w:pPr>
            <w:r w:rsidRPr="00612923">
              <w:t>9.6</w:t>
            </w: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Part-Peak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11.5</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12.8</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17.2</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17.2</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17.2</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Off-Peak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6.0</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7.3</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9.0</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9.0</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9.0</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254844">
            <w:pPr>
              <w:pStyle w:val="TableText"/>
              <w:keepNext/>
            </w:pPr>
          </w:p>
        </w:tc>
        <w:tc>
          <w:tcPr>
            <w:tcW w:w="135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Winter</w:t>
            </w: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Part-Peak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7.5</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8.8</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11.2</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11.2</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11.2</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r w:rsidR="00701E06" w:rsidRPr="00612923" w:rsidTr="00701E06">
        <w:trPr>
          <w:trHeight w:val="300"/>
          <w:jc w:val="center"/>
        </w:trPr>
        <w:tc>
          <w:tcPr>
            <w:tcW w:w="176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c>
          <w:tcPr>
            <w:tcW w:w="1585"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c>
          <w:tcPr>
            <w:tcW w:w="135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c>
          <w:tcPr>
            <w:tcW w:w="153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701E06">
            <w:pPr>
              <w:pStyle w:val="TableText"/>
            </w:pPr>
            <w:r w:rsidRPr="00612923">
              <w:t>Off-Peak</w:t>
            </w:r>
          </w:p>
        </w:tc>
        <w:tc>
          <w:tcPr>
            <w:tcW w:w="117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6.3</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7.6</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9.4</w:t>
            </w:r>
          </w:p>
        </w:tc>
        <w:tc>
          <w:tcPr>
            <w:tcW w:w="1083"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9.4</w:t>
            </w:r>
          </w:p>
        </w:tc>
        <w:tc>
          <w:tcPr>
            <w:tcW w:w="1251"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9.4</w:t>
            </w:r>
          </w:p>
        </w:tc>
        <w:tc>
          <w:tcPr>
            <w:tcW w:w="1170" w:type="dxa"/>
            <w:vMerge/>
            <w:tcBorders>
              <w:top w:val="nil"/>
              <w:left w:val="single" w:sz="4" w:space="0" w:color="auto"/>
              <w:bottom w:val="single" w:sz="4" w:space="0" w:color="auto"/>
              <w:right w:val="single" w:sz="4" w:space="0" w:color="auto"/>
            </w:tcBorders>
            <w:vAlign w:val="center"/>
            <w:hideMark/>
          </w:tcPr>
          <w:p w:rsidR="00701E06" w:rsidRPr="00612923" w:rsidRDefault="00701E06" w:rsidP="00701E06">
            <w:pPr>
              <w:pStyle w:val="TableText"/>
            </w:pPr>
          </w:p>
        </w:tc>
      </w:tr>
    </w:tbl>
    <w:p w:rsidR="00701E06" w:rsidRPr="00612923" w:rsidRDefault="00701E06" w:rsidP="00701E06">
      <w:pPr>
        <w:pStyle w:val="BodyParagraph"/>
        <w:jc w:val="center"/>
        <w:sectPr w:rsidR="00701E06" w:rsidRPr="00612923" w:rsidSect="00701E06">
          <w:headerReference w:type="default" r:id="rId23"/>
          <w:pgSz w:w="15840" w:h="12240" w:orient="landscape"/>
          <w:pgMar w:top="1440" w:right="1440" w:bottom="1440" w:left="1440" w:header="720" w:footer="720" w:gutter="0"/>
          <w:cols w:space="720"/>
          <w:docGrid w:linePitch="360"/>
        </w:sectPr>
      </w:pPr>
    </w:p>
    <w:p w:rsidR="00701E06" w:rsidRPr="00612923" w:rsidRDefault="00701E06" w:rsidP="00701E06">
      <w:pPr>
        <w:pStyle w:val="BodyParagraph"/>
      </w:pPr>
      <w:r w:rsidRPr="00612923">
        <w:lastRenderedPageBreak/>
        <w:t xml:space="preserve">In total, there were approximately 91,000 customers being served under the four versions of the TOU tariffs at the end of summer 2012, with about 21,000 on E-6 and approximately 70,000 on E-7.  Table 2-4 compares E-6 and E-7 non-net metered customers to customers on the standard (non-time varying) E-1 rate.  We have excluded net metered customers from our analysis, but in general E-6 and E-7 customers are much more likely to be net metered than a typical customer.  Net metered customers tend to have very different load patterns compared with standard metered customers; they often have solar power or some other form of distributed generation.  While less than 1% of customers on flat rates are net metered, approximately 89% of E-6 customers and 18% of E-7 customers are net-metered.  </w:t>
      </w:r>
    </w:p>
    <w:p w:rsidR="00701E06" w:rsidRDefault="00701E06" w:rsidP="00701E06">
      <w:pPr>
        <w:pStyle w:val="TableFigureCaption"/>
      </w:pPr>
      <w:r w:rsidRPr="00612923">
        <w:t>Table 2-4: Customer Characteristics by Tariff (E-6 and E-7 Exclude Net Metered Customers)</w:t>
      </w:r>
    </w:p>
    <w:tbl>
      <w:tblPr>
        <w:tblW w:w="9390" w:type="dxa"/>
        <w:tblInd w:w="93" w:type="dxa"/>
        <w:tblLook w:val="04A0"/>
      </w:tblPr>
      <w:tblGrid>
        <w:gridCol w:w="2947"/>
        <w:gridCol w:w="2687"/>
        <w:gridCol w:w="1878"/>
        <w:gridCol w:w="1878"/>
      </w:tblGrid>
      <w:tr w:rsidR="00652E72" w:rsidRPr="00652E72" w:rsidTr="00652E72">
        <w:trPr>
          <w:trHeight w:val="315"/>
        </w:trPr>
        <w:tc>
          <w:tcPr>
            <w:tcW w:w="2947" w:type="dxa"/>
            <w:vMerge w:val="restart"/>
            <w:tcBorders>
              <w:top w:val="single" w:sz="8" w:space="0" w:color="auto"/>
              <w:left w:val="single" w:sz="8" w:space="0" w:color="auto"/>
              <w:bottom w:val="single" w:sz="8" w:space="0" w:color="000000"/>
              <w:right w:val="single" w:sz="8" w:space="0" w:color="FFFFFF"/>
            </w:tcBorders>
            <w:shd w:val="clear" w:color="000000" w:fill="1F497D"/>
            <w:noWrap/>
            <w:vAlign w:val="center"/>
            <w:hideMark/>
          </w:tcPr>
          <w:p w:rsidR="00652E72" w:rsidRPr="00652E72" w:rsidRDefault="00652E72" w:rsidP="00254844">
            <w:pPr>
              <w:keepNext/>
              <w:spacing w:after="0" w:line="240" w:lineRule="auto"/>
              <w:jc w:val="center"/>
              <w:rPr>
                <w:rFonts w:ascii="Arial" w:eastAsia="Times New Roman" w:hAnsi="Arial" w:cs="Arial"/>
                <w:b/>
                <w:bCs/>
                <w:color w:val="FFFFFF"/>
                <w:sz w:val="20"/>
                <w:szCs w:val="20"/>
              </w:rPr>
            </w:pPr>
            <w:r w:rsidRPr="00652E72">
              <w:rPr>
                <w:rFonts w:ascii="Arial" w:eastAsia="Times New Roman" w:hAnsi="Arial" w:cs="Arial"/>
                <w:b/>
                <w:bCs/>
                <w:color w:val="FFFFFF"/>
                <w:sz w:val="20"/>
                <w:szCs w:val="20"/>
              </w:rPr>
              <w:t>Characteristic</w:t>
            </w:r>
          </w:p>
        </w:tc>
        <w:tc>
          <w:tcPr>
            <w:tcW w:w="6443" w:type="dxa"/>
            <w:gridSpan w:val="3"/>
            <w:tcBorders>
              <w:top w:val="single" w:sz="8" w:space="0" w:color="auto"/>
              <w:left w:val="nil"/>
              <w:bottom w:val="single" w:sz="8" w:space="0" w:color="FFFFFF"/>
              <w:right w:val="single" w:sz="8" w:space="0" w:color="000000"/>
            </w:tcBorders>
            <w:shd w:val="clear" w:color="000000" w:fill="1F497D"/>
            <w:noWrap/>
            <w:vAlign w:val="center"/>
            <w:hideMark/>
          </w:tcPr>
          <w:p w:rsidR="00652E72" w:rsidRPr="00652E72" w:rsidRDefault="00652E72" w:rsidP="00254844">
            <w:pPr>
              <w:keepNext/>
              <w:spacing w:after="0" w:line="240" w:lineRule="auto"/>
              <w:jc w:val="center"/>
              <w:rPr>
                <w:rFonts w:ascii="Arial" w:eastAsia="Times New Roman" w:hAnsi="Arial" w:cs="Arial"/>
                <w:b/>
                <w:bCs/>
                <w:color w:val="FFFFFF"/>
                <w:sz w:val="20"/>
                <w:szCs w:val="20"/>
              </w:rPr>
            </w:pPr>
            <w:r w:rsidRPr="00652E72">
              <w:rPr>
                <w:rFonts w:ascii="Arial" w:eastAsia="Times New Roman" w:hAnsi="Arial" w:cs="Arial"/>
                <w:b/>
                <w:bCs/>
                <w:color w:val="FFFFFF"/>
                <w:sz w:val="20"/>
                <w:szCs w:val="20"/>
              </w:rPr>
              <w:t>Rate</w:t>
            </w:r>
          </w:p>
        </w:tc>
      </w:tr>
      <w:tr w:rsidR="00652E72" w:rsidRPr="00652E72" w:rsidTr="00652E72">
        <w:trPr>
          <w:trHeight w:val="315"/>
        </w:trPr>
        <w:tc>
          <w:tcPr>
            <w:tcW w:w="2947" w:type="dxa"/>
            <w:vMerge/>
            <w:tcBorders>
              <w:top w:val="single" w:sz="8" w:space="0" w:color="auto"/>
              <w:left w:val="single" w:sz="8" w:space="0" w:color="auto"/>
              <w:bottom w:val="single" w:sz="8" w:space="0" w:color="000000"/>
              <w:right w:val="single" w:sz="8" w:space="0" w:color="FFFFFF"/>
            </w:tcBorders>
            <w:vAlign w:val="center"/>
            <w:hideMark/>
          </w:tcPr>
          <w:p w:rsidR="00652E72" w:rsidRPr="00652E72" w:rsidRDefault="00652E72" w:rsidP="00254844">
            <w:pPr>
              <w:keepNext/>
              <w:spacing w:after="0" w:line="240" w:lineRule="auto"/>
              <w:rPr>
                <w:rFonts w:ascii="Arial" w:eastAsia="Times New Roman" w:hAnsi="Arial" w:cs="Arial"/>
                <w:b/>
                <w:bCs/>
                <w:color w:val="FFFFFF"/>
                <w:sz w:val="20"/>
                <w:szCs w:val="20"/>
              </w:rPr>
            </w:pPr>
          </w:p>
        </w:tc>
        <w:tc>
          <w:tcPr>
            <w:tcW w:w="2687" w:type="dxa"/>
            <w:tcBorders>
              <w:top w:val="nil"/>
              <w:left w:val="nil"/>
              <w:bottom w:val="single" w:sz="8" w:space="0" w:color="auto"/>
              <w:right w:val="single" w:sz="8" w:space="0" w:color="FFFFFF"/>
            </w:tcBorders>
            <w:shd w:val="clear" w:color="000000" w:fill="1F497D"/>
            <w:noWrap/>
            <w:vAlign w:val="center"/>
            <w:hideMark/>
          </w:tcPr>
          <w:p w:rsidR="00652E72" w:rsidRPr="00652E72" w:rsidRDefault="00652E72" w:rsidP="00254844">
            <w:pPr>
              <w:keepNext/>
              <w:spacing w:after="0" w:line="240" w:lineRule="auto"/>
              <w:jc w:val="center"/>
              <w:rPr>
                <w:rFonts w:ascii="Arial" w:eastAsia="Times New Roman" w:hAnsi="Arial" w:cs="Arial"/>
                <w:b/>
                <w:bCs/>
                <w:color w:val="FFFFFF"/>
                <w:sz w:val="20"/>
                <w:szCs w:val="20"/>
              </w:rPr>
            </w:pPr>
            <w:r w:rsidRPr="00652E72">
              <w:rPr>
                <w:rFonts w:ascii="Arial" w:eastAsia="Times New Roman" w:hAnsi="Arial" w:cs="Arial"/>
                <w:b/>
                <w:bCs/>
                <w:color w:val="FFFFFF"/>
                <w:sz w:val="20"/>
                <w:szCs w:val="20"/>
              </w:rPr>
              <w:t>E-1</w:t>
            </w:r>
          </w:p>
        </w:tc>
        <w:tc>
          <w:tcPr>
            <w:tcW w:w="1878" w:type="dxa"/>
            <w:tcBorders>
              <w:top w:val="nil"/>
              <w:left w:val="nil"/>
              <w:bottom w:val="single" w:sz="8" w:space="0" w:color="auto"/>
              <w:right w:val="single" w:sz="8" w:space="0" w:color="FFFFFF"/>
            </w:tcBorders>
            <w:shd w:val="clear" w:color="000000" w:fill="1F497D"/>
            <w:noWrap/>
            <w:vAlign w:val="center"/>
            <w:hideMark/>
          </w:tcPr>
          <w:p w:rsidR="00652E72" w:rsidRPr="00652E72" w:rsidRDefault="00652E72" w:rsidP="00254844">
            <w:pPr>
              <w:keepNext/>
              <w:spacing w:after="0" w:line="240" w:lineRule="auto"/>
              <w:jc w:val="center"/>
              <w:rPr>
                <w:rFonts w:ascii="Arial" w:eastAsia="Times New Roman" w:hAnsi="Arial" w:cs="Arial"/>
                <w:b/>
                <w:bCs/>
                <w:color w:val="FFFFFF"/>
                <w:sz w:val="20"/>
                <w:szCs w:val="20"/>
              </w:rPr>
            </w:pPr>
            <w:r w:rsidRPr="00652E72">
              <w:rPr>
                <w:rFonts w:ascii="Arial" w:eastAsia="Times New Roman" w:hAnsi="Arial" w:cs="Arial"/>
                <w:b/>
                <w:bCs/>
                <w:color w:val="FFFFFF"/>
                <w:sz w:val="20"/>
                <w:szCs w:val="20"/>
              </w:rPr>
              <w:t>E-6</w:t>
            </w:r>
          </w:p>
        </w:tc>
        <w:tc>
          <w:tcPr>
            <w:tcW w:w="1878" w:type="dxa"/>
            <w:tcBorders>
              <w:top w:val="nil"/>
              <w:left w:val="nil"/>
              <w:bottom w:val="single" w:sz="8" w:space="0" w:color="auto"/>
              <w:right w:val="single" w:sz="8" w:space="0" w:color="auto"/>
            </w:tcBorders>
            <w:shd w:val="clear" w:color="000000" w:fill="1F497D"/>
            <w:noWrap/>
            <w:vAlign w:val="center"/>
            <w:hideMark/>
          </w:tcPr>
          <w:p w:rsidR="00652E72" w:rsidRPr="00652E72" w:rsidRDefault="00652E72" w:rsidP="00254844">
            <w:pPr>
              <w:keepNext/>
              <w:spacing w:after="0" w:line="240" w:lineRule="auto"/>
              <w:jc w:val="center"/>
              <w:rPr>
                <w:rFonts w:ascii="Arial" w:eastAsia="Times New Roman" w:hAnsi="Arial" w:cs="Arial"/>
                <w:b/>
                <w:bCs/>
                <w:color w:val="FFFFFF"/>
                <w:sz w:val="20"/>
                <w:szCs w:val="20"/>
              </w:rPr>
            </w:pPr>
            <w:r w:rsidRPr="00652E72">
              <w:rPr>
                <w:rFonts w:ascii="Arial" w:eastAsia="Times New Roman" w:hAnsi="Arial" w:cs="Arial"/>
                <w:b/>
                <w:bCs/>
                <w:color w:val="FFFFFF"/>
                <w:sz w:val="20"/>
                <w:szCs w:val="20"/>
              </w:rPr>
              <w:t>E-7</w:t>
            </w:r>
          </w:p>
        </w:tc>
      </w:tr>
      <w:tr w:rsidR="00652E72" w:rsidRPr="00652E72" w:rsidTr="00652E72">
        <w:trPr>
          <w:trHeight w:val="315"/>
        </w:trPr>
        <w:tc>
          <w:tcPr>
            <w:tcW w:w="2947" w:type="dxa"/>
            <w:tcBorders>
              <w:top w:val="nil"/>
              <w:left w:val="single" w:sz="8" w:space="0" w:color="auto"/>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Accounts</w:t>
            </w:r>
          </w:p>
        </w:tc>
        <w:tc>
          <w:tcPr>
            <w:tcW w:w="2687"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4,396,326</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3,025</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57,074</w:t>
            </w:r>
          </w:p>
        </w:tc>
      </w:tr>
      <w:tr w:rsidR="00652E72" w:rsidRPr="00652E72" w:rsidTr="00652E72">
        <w:trPr>
          <w:trHeight w:val="315"/>
        </w:trPr>
        <w:tc>
          <w:tcPr>
            <w:tcW w:w="2947" w:type="dxa"/>
            <w:tcBorders>
              <w:top w:val="nil"/>
              <w:left w:val="single" w:sz="8" w:space="0" w:color="auto"/>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Average Annual kWh</w:t>
            </w:r>
          </w:p>
        </w:tc>
        <w:tc>
          <w:tcPr>
            <w:tcW w:w="2687"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6,679</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14,175</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11,531</w:t>
            </w:r>
          </w:p>
        </w:tc>
      </w:tr>
      <w:tr w:rsidR="00652E72" w:rsidRPr="00652E72" w:rsidTr="00652E72">
        <w:trPr>
          <w:trHeight w:val="315"/>
        </w:trPr>
        <w:tc>
          <w:tcPr>
            <w:tcW w:w="2947" w:type="dxa"/>
            <w:tcBorders>
              <w:top w:val="nil"/>
              <w:left w:val="single" w:sz="8" w:space="0" w:color="auto"/>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 Net Metered</w:t>
            </w:r>
          </w:p>
        </w:tc>
        <w:tc>
          <w:tcPr>
            <w:tcW w:w="2687"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1</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0</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0</w:t>
            </w:r>
          </w:p>
        </w:tc>
      </w:tr>
      <w:tr w:rsidR="00652E72" w:rsidRPr="00652E72" w:rsidTr="00652E72">
        <w:trPr>
          <w:trHeight w:val="315"/>
        </w:trPr>
        <w:tc>
          <w:tcPr>
            <w:tcW w:w="2947" w:type="dxa"/>
            <w:tcBorders>
              <w:top w:val="nil"/>
              <w:left w:val="single" w:sz="8" w:space="0" w:color="auto"/>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 CARE</w:t>
            </w:r>
          </w:p>
        </w:tc>
        <w:tc>
          <w:tcPr>
            <w:tcW w:w="2687"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27</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12</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11</w:t>
            </w:r>
          </w:p>
        </w:tc>
      </w:tr>
      <w:tr w:rsidR="00652E72" w:rsidRPr="00652E72" w:rsidTr="00652E72">
        <w:trPr>
          <w:trHeight w:val="315"/>
        </w:trPr>
        <w:tc>
          <w:tcPr>
            <w:tcW w:w="2947" w:type="dxa"/>
            <w:tcBorders>
              <w:top w:val="nil"/>
              <w:left w:val="single" w:sz="8" w:space="0" w:color="auto"/>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 All Electric</w:t>
            </w:r>
          </w:p>
        </w:tc>
        <w:tc>
          <w:tcPr>
            <w:tcW w:w="2687"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15</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21</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34</w:t>
            </w:r>
          </w:p>
        </w:tc>
      </w:tr>
      <w:tr w:rsidR="00652E72" w:rsidRPr="00652E72" w:rsidTr="00652E72">
        <w:trPr>
          <w:trHeight w:val="315"/>
        </w:trPr>
        <w:tc>
          <w:tcPr>
            <w:tcW w:w="2947" w:type="dxa"/>
            <w:tcBorders>
              <w:top w:val="nil"/>
              <w:left w:val="single" w:sz="8" w:space="0" w:color="auto"/>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 with Smart Meters (Sept 30, 2011)</w:t>
            </w:r>
          </w:p>
        </w:tc>
        <w:tc>
          <w:tcPr>
            <w:tcW w:w="2687"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93</w:t>
            </w:r>
          </w:p>
        </w:tc>
        <w:tc>
          <w:tcPr>
            <w:tcW w:w="18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4</w:t>
            </w:r>
          </w:p>
        </w:tc>
        <w:tc>
          <w:tcPr>
            <w:tcW w:w="1878" w:type="dxa"/>
            <w:tcBorders>
              <w:top w:val="single" w:sz="4" w:space="0" w:color="auto"/>
              <w:left w:val="nil"/>
              <w:bottom w:val="single" w:sz="4" w:space="0" w:color="auto"/>
              <w:right w:val="single" w:sz="4" w:space="0" w:color="auto"/>
            </w:tcBorders>
            <w:shd w:val="clear" w:color="auto" w:fill="auto"/>
            <w:noWrap/>
            <w:vAlign w:val="center"/>
            <w:hideMark/>
          </w:tcPr>
          <w:p w:rsidR="00652E72" w:rsidRPr="00652E72" w:rsidRDefault="00652E72" w:rsidP="00254844">
            <w:pPr>
              <w:keepNext/>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23</w:t>
            </w:r>
          </w:p>
        </w:tc>
      </w:tr>
      <w:tr w:rsidR="00652E72" w:rsidRPr="00652E72" w:rsidTr="00652E72">
        <w:trPr>
          <w:trHeight w:val="315"/>
        </w:trPr>
        <w:tc>
          <w:tcPr>
            <w:tcW w:w="2947" w:type="dxa"/>
            <w:tcBorders>
              <w:top w:val="nil"/>
              <w:left w:val="single" w:sz="8" w:space="0" w:color="auto"/>
              <w:bottom w:val="single" w:sz="8" w:space="0" w:color="auto"/>
              <w:right w:val="single" w:sz="8" w:space="0" w:color="auto"/>
            </w:tcBorders>
            <w:shd w:val="clear" w:color="auto" w:fill="auto"/>
            <w:noWrap/>
            <w:vAlign w:val="center"/>
            <w:hideMark/>
          </w:tcPr>
          <w:p w:rsidR="00652E72" w:rsidRPr="00652E72" w:rsidRDefault="00652E72" w:rsidP="00652E72">
            <w:pPr>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 with Smart Meters (July 27, 2012)</w:t>
            </w:r>
          </w:p>
        </w:tc>
        <w:tc>
          <w:tcPr>
            <w:tcW w:w="2687"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652E72">
            <w:pPr>
              <w:spacing w:after="0" w:line="240" w:lineRule="auto"/>
              <w:jc w:val="center"/>
              <w:rPr>
                <w:rFonts w:ascii="Arial" w:eastAsia="Times New Roman" w:hAnsi="Arial" w:cs="Arial"/>
                <w:color w:val="000000"/>
                <w:sz w:val="18"/>
                <w:szCs w:val="18"/>
              </w:rPr>
            </w:pPr>
            <w:r w:rsidRPr="00652E72">
              <w:rPr>
                <w:rFonts w:ascii="Arial" w:eastAsia="Times New Roman" w:hAnsi="Arial" w:cs="Arial"/>
                <w:color w:val="000000"/>
                <w:sz w:val="18"/>
                <w:szCs w:val="18"/>
              </w:rPr>
              <w:t>92</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652E72">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67</w:t>
            </w:r>
          </w:p>
        </w:tc>
        <w:tc>
          <w:tcPr>
            <w:tcW w:w="1878" w:type="dxa"/>
            <w:tcBorders>
              <w:top w:val="nil"/>
              <w:left w:val="nil"/>
              <w:bottom w:val="single" w:sz="8" w:space="0" w:color="auto"/>
              <w:right w:val="single" w:sz="8" w:space="0" w:color="auto"/>
            </w:tcBorders>
            <w:shd w:val="clear" w:color="auto" w:fill="auto"/>
            <w:noWrap/>
            <w:vAlign w:val="center"/>
            <w:hideMark/>
          </w:tcPr>
          <w:p w:rsidR="00652E72" w:rsidRPr="00652E72" w:rsidRDefault="00652E72" w:rsidP="00652E72">
            <w:pPr>
              <w:spacing w:after="0" w:line="240" w:lineRule="auto"/>
              <w:jc w:val="center"/>
              <w:rPr>
                <w:rFonts w:ascii="Arial" w:eastAsia="Times New Roman" w:hAnsi="Arial" w:cs="Arial"/>
                <w:color w:val="000000"/>
                <w:sz w:val="18"/>
                <w:szCs w:val="18"/>
              </w:rPr>
            </w:pPr>
            <w:r>
              <w:rPr>
                <w:rFonts w:ascii="Arial" w:eastAsia="Times New Roman" w:hAnsi="Arial" w:cs="Arial"/>
                <w:color w:val="000000"/>
                <w:sz w:val="18"/>
                <w:szCs w:val="18"/>
              </w:rPr>
              <w:t>28</w:t>
            </w:r>
          </w:p>
        </w:tc>
      </w:tr>
    </w:tbl>
    <w:p w:rsidR="00652E72" w:rsidRPr="00652E72" w:rsidRDefault="00652E72" w:rsidP="00652E72">
      <w:pPr>
        <w:pStyle w:val="BodyParagraph"/>
      </w:pPr>
    </w:p>
    <w:p w:rsidR="00701E06" w:rsidRPr="00612923" w:rsidRDefault="00701E06" w:rsidP="00701E06">
      <w:pPr>
        <w:pStyle w:val="BodyParaAfterTableFigure"/>
      </w:pPr>
      <w:r w:rsidRPr="00612923">
        <w:t>E-6 and E-7 customers differ in several ways from the E-1 population.  For example, customers on E</w:t>
      </w:r>
      <w:r w:rsidR="00017875" w:rsidRPr="00612923">
        <w:noBreakHyphen/>
      </w:r>
      <w:r w:rsidRPr="00612923">
        <w:t>6</w:t>
      </w:r>
      <w:r w:rsidR="00017875" w:rsidRPr="00612923">
        <w:t> </w:t>
      </w:r>
      <w:r w:rsidRPr="00612923">
        <w:t>and E-7 are less likely to be on the low income rate, CARE.  While approximately 27% of PG&amp;E’s customers on the non-time varying E-1 tariff are CARE customers, only about 1</w:t>
      </w:r>
      <w:r w:rsidR="00652E72">
        <w:t>2</w:t>
      </w:r>
      <w:r w:rsidRPr="00612923">
        <w:t>% of E-6 and E-7 customers, are on the CARE tariff.  E-7 customers are also more likely to be all electric households and thus consume more electricity.  Approximately 3</w:t>
      </w:r>
      <w:r w:rsidR="00652E72">
        <w:t>4</w:t>
      </w:r>
      <w:r w:rsidRPr="00612923">
        <w:t xml:space="preserve">% of E-7 customers receive all electric service, which is </w:t>
      </w:r>
      <w:r w:rsidR="00652E72">
        <w:t xml:space="preserve">more than </w:t>
      </w:r>
      <w:r w:rsidRPr="00612923">
        <w:t>twice the percentage of such customers on the E-1 tariff.  The annual electricity consumption of E-7 and E-6 customers</w:t>
      </w:r>
      <w:r w:rsidR="00652E72">
        <w:t xml:space="preserve">, more than 10,000 kWh, is </w:t>
      </w:r>
      <w:r w:rsidRPr="00612923">
        <w:t xml:space="preserve">about 50% higher </w:t>
      </w:r>
      <w:proofErr w:type="gramStart"/>
      <w:r w:rsidRPr="00612923">
        <w:t>than the 6,700 kWh average annual consumption of E-1 customers</w:t>
      </w:r>
      <w:proofErr w:type="gramEnd"/>
      <w:r w:rsidRPr="00612923">
        <w:t xml:space="preserve">.  </w:t>
      </w:r>
    </w:p>
    <w:p w:rsidR="00701E06" w:rsidRPr="00612923" w:rsidRDefault="00701E06" w:rsidP="00701E06">
      <w:pPr>
        <w:pStyle w:val="BodyParagraph"/>
      </w:pPr>
      <w:r w:rsidRPr="00612923">
        <w:t>In comparison to customers on flat rates, a much smaller share of E-6 and E-7 customers have had</w:t>
      </w:r>
      <w:r w:rsidR="00017875" w:rsidRPr="00612923">
        <w:t> </w:t>
      </w:r>
      <w:r w:rsidRPr="00612923">
        <w:t xml:space="preserve">smart meters installed.  Over 90% of customers on flat rates had smart meters installed by September 30, 2011.  In contrast, 4% of E-6 and 23% of E-7 customers had smart meters installed.  The limited availability of smart meters among TOU customers has important implications for the load impact evaluation since at least one year of interval data is needed to estimate load impacts. </w:t>
      </w:r>
    </w:p>
    <w:p w:rsidR="00701E06" w:rsidRPr="00612923" w:rsidRDefault="00701E06" w:rsidP="00701E06">
      <w:pPr>
        <w:pStyle w:val="BodyParagraph"/>
      </w:pPr>
      <w:r w:rsidRPr="00612923">
        <w:t>The load impact estimates presented in this report exclude net-metered customers because most of</w:t>
      </w:r>
      <w:r w:rsidR="00017875" w:rsidRPr="00612923">
        <w:t> </w:t>
      </w:r>
      <w:r w:rsidRPr="00612923">
        <w:t xml:space="preserve">these customers have solar installations and differences in their loads are mostly or exclusively attributable to that fact rather than to the TOU rate.  In addition, the evaluation does not produce separate load impact estimates for E-6 customers, because there are only 1,500 non-net-metered customers, few of which have smart meters.  As a result, there are not enough E-6 customers from which to draw a representative sample. </w:t>
      </w:r>
    </w:p>
    <w:p w:rsidR="00701E06" w:rsidRPr="00612923" w:rsidRDefault="00701E06" w:rsidP="00701E06">
      <w:pPr>
        <w:pStyle w:val="BodyParagraph"/>
      </w:pPr>
      <w:r w:rsidRPr="00612923">
        <w:lastRenderedPageBreak/>
        <w:t xml:space="preserve">Finally, although the peak period in the rate structures differs between the two groups, we have analyzed E-6 and E-7 customers together for two reasons.  First, the required output of this analysis is estimated ex ante load impacts from 1-6 PM, regardless of what the actual peak period is in the rates.  Second, customer response to a TOU rate is unlikely to be precisely bracketed around the peak period anyway.  The types of changes in lifestyle that people make to adjust to the rate will not precisely match the peak period.  </w:t>
      </w:r>
    </w:p>
    <w:p w:rsidR="00701E06" w:rsidRPr="00612923" w:rsidRDefault="00701E06" w:rsidP="00701E06">
      <w:pPr>
        <w:pStyle w:val="Heading2"/>
      </w:pPr>
      <w:bookmarkStart w:id="20" w:name="_Toc349193878"/>
      <w:bookmarkStart w:id="21" w:name="_Toc352567293"/>
      <w:r w:rsidRPr="00612923">
        <w:t>Report Organization</w:t>
      </w:r>
      <w:bookmarkEnd w:id="20"/>
      <w:bookmarkEnd w:id="21"/>
    </w:p>
    <w:p w:rsidR="00701E06" w:rsidRPr="00612923" w:rsidRDefault="00701E06" w:rsidP="00701E06">
      <w:pPr>
        <w:pStyle w:val="BodyParagraph"/>
      </w:pPr>
      <w:r w:rsidRPr="00612923">
        <w:t xml:space="preserve">The remainder of this report is organized as follows.  Section 3 provides an overview of the ex post methodology used to evaluate SmartRate.  </w:t>
      </w:r>
      <w:r w:rsidR="00F54E90" w:rsidRPr="00612923">
        <w:t>Section 4 provides ex post results for SmartRate.  Section 5 discusses the ex ante methods and results for SmartRate</w:t>
      </w:r>
      <w:r w:rsidRPr="00612923">
        <w:t xml:space="preserve">.  Section </w:t>
      </w:r>
      <w:r w:rsidR="00F54E90" w:rsidRPr="00612923">
        <w:t>7</w:t>
      </w:r>
      <w:r w:rsidRPr="00612923">
        <w:t xml:space="preserve"> discusses the ex post load impact estimation method</w:t>
      </w:r>
      <w:r w:rsidR="00F54E90" w:rsidRPr="00612923">
        <w:t>s</w:t>
      </w:r>
      <w:r w:rsidRPr="00612923">
        <w:t xml:space="preserve"> for the E-6 and E-7 rates and contains the ex post load impact estimates for these tariffs.</w:t>
      </w:r>
      <w:r w:rsidR="00F54E90" w:rsidRPr="00612923">
        <w:t xml:space="preserve">  Section 8 contains ex ante methods and results for E-6 and E-7.</w:t>
      </w:r>
    </w:p>
    <w:p w:rsidR="00701E06" w:rsidRPr="00612923" w:rsidRDefault="00701E06" w:rsidP="00701E06">
      <w:pPr>
        <w:pStyle w:val="Heading1"/>
      </w:pPr>
      <w:r w:rsidRPr="00612923">
        <w:br w:type="page"/>
      </w:r>
      <w:bookmarkStart w:id="22" w:name="_Toc349193879"/>
      <w:bookmarkStart w:id="23" w:name="_Toc289176461"/>
      <w:bookmarkStart w:id="24" w:name="_Toc352567294"/>
      <w:r w:rsidRPr="00612923">
        <w:lastRenderedPageBreak/>
        <w:t>SmartRate Ex Post Methods and Validation</w:t>
      </w:r>
      <w:bookmarkEnd w:id="22"/>
      <w:bookmarkEnd w:id="24"/>
    </w:p>
    <w:p w:rsidR="00701E06" w:rsidRPr="00612923" w:rsidRDefault="00701E06" w:rsidP="00701E06">
      <w:pPr>
        <w:pStyle w:val="BodyParagraph"/>
      </w:pPr>
      <w:r w:rsidRPr="00612923">
        <w:t xml:space="preserve">The fundamental problem for estimating load impacts is developing an estimate of reference load.  The reference load is an estimate of what load would have been in the absence of the price incentives that are in effect for participants.  For this evaluation, the focus is on what load would have been on SmartDays in particular.  It may be true that customer load is different on non-SmartDays due to the SmartRate bill credit or due to habit formation in energy conservation (these effects work in opposite directions); </w:t>
      </w:r>
      <w:r w:rsidR="008D24B3">
        <w:t>however</w:t>
      </w:r>
      <w:r w:rsidR="00567DE9">
        <w:t xml:space="preserve"> an</w:t>
      </w:r>
      <w:r w:rsidR="00567DE9" w:rsidRPr="00612923">
        <w:t xml:space="preserve"> </w:t>
      </w:r>
      <w:r w:rsidRPr="00612923">
        <w:t xml:space="preserve">experiment to </w:t>
      </w:r>
      <w:r w:rsidR="008D24B3">
        <w:t xml:space="preserve">precisely </w:t>
      </w:r>
      <w:r w:rsidRPr="00612923">
        <w:t xml:space="preserve">measure such a subtle effect </w:t>
      </w:r>
      <w:r w:rsidR="008D24B3">
        <w:t>would</w:t>
      </w:r>
      <w:r w:rsidR="00567DE9">
        <w:t xml:space="preserve"> be difficult to </w:t>
      </w:r>
      <w:r w:rsidR="00567DE9" w:rsidRPr="00612923">
        <w:t xml:space="preserve">design </w:t>
      </w:r>
      <w:r w:rsidR="008D24B3">
        <w:t>and implement</w:t>
      </w:r>
      <w:r w:rsidRPr="00612923">
        <w:t>.</w:t>
      </w:r>
      <w:r w:rsidRPr="00612923">
        <w:rPr>
          <w:rStyle w:val="FootnoteReference"/>
        </w:rPr>
        <w:footnoteReference w:id="10"/>
      </w:r>
      <w:r w:rsidRPr="00612923">
        <w:t xml:space="preserve">  </w:t>
      </w:r>
    </w:p>
    <w:p w:rsidR="00701E06" w:rsidRPr="00612923" w:rsidRDefault="00701E06" w:rsidP="00701E06">
      <w:pPr>
        <w:pStyle w:val="BodyParagraph"/>
      </w:pPr>
      <w:r w:rsidRPr="00612923">
        <w:t>The methods used in the 2012 SmartRate evaluation are similar to those used for the 2011 evaluation, but adjusted to account for the changing enrollment over the summer.  This year a series of matched control groups were selected for the entire SmartRate population and SmartMeter data was used to directly estimate impacts without the need for regression.  Different control groups were used for different sets of SmartRate events because the population changed between events</w:t>
      </w:r>
      <w:r w:rsidR="007F19E2" w:rsidRPr="00612923">
        <w:t>,</w:t>
      </w:r>
      <w:r w:rsidRPr="00612923">
        <w:t xml:space="preserve"> which meant that the control group that matched well to the SmartRate population early in the summer did not match well later in the summer.</w:t>
      </w:r>
    </w:p>
    <w:p w:rsidR="00701E06" w:rsidRPr="00612923" w:rsidRDefault="00701E06" w:rsidP="00701E06">
      <w:pPr>
        <w:pStyle w:val="BodyParagraph"/>
      </w:pPr>
      <w:r w:rsidRPr="00612923">
        <w:t>In this situation, where the program is available to the entire population, precluding a controlled experiment, the main alternative method to using a matched control group is to use a within-subjects analysis.  The matched control group method is superior to a within-subjects analysis in this case because there is a large population of non-SmartRate customers to use as a pool for matching and because it eliminates the problem of model misspecification.  Any reference load model based on loads observed at non-event times requires the modeler to make assumptions about the relationships between load, time and temperature.  If this assumed function does not reflect the true relationships between load, time and temperature, then the model can produce incorrect results.  In contrast, the matched control group automatically deals with this problem by assuming that the customers who behave similarly to SmartRate customers during non-event periods would also behave similarly during event periods.  This eliminates the need to specify load as a function of weather.</w:t>
      </w:r>
    </w:p>
    <w:p w:rsidR="00701E06" w:rsidRPr="00612923" w:rsidRDefault="00701E06" w:rsidP="00701E06">
      <w:pPr>
        <w:pStyle w:val="BodyParagraph"/>
      </w:pPr>
      <w:r w:rsidRPr="00612923">
        <w:t xml:space="preserve">As discussed below, we do use </w:t>
      </w:r>
      <w:proofErr w:type="gramStart"/>
      <w:r w:rsidRPr="00612923">
        <w:t>a within-subjects</w:t>
      </w:r>
      <w:proofErr w:type="gramEnd"/>
      <w:r w:rsidRPr="00612923">
        <w:t xml:space="preserve"> analysis for certain parts of this evaluation; however, in those cases the emphasis is on relative load impacts across different types of customers.  It is a weaker assumption to believe that the biases this method produces are relatively stable across customer segments than to believe that we can completely eliminate them.  Therefore, we use the matched control group method wherever possible, particularly for the primary impact estimates to be reported.  We use the within-subjects analysis only to compare load impacts across segments of customers where developing control groups within each segment would be infeasible.</w:t>
      </w:r>
    </w:p>
    <w:p w:rsidR="00701E06" w:rsidRPr="00612923" w:rsidRDefault="00701E06" w:rsidP="00701E06">
      <w:pPr>
        <w:pStyle w:val="Heading2"/>
      </w:pPr>
      <w:bookmarkStart w:id="25" w:name="_Toc349193880"/>
      <w:bookmarkStart w:id="26" w:name="_Toc352567295"/>
      <w:r w:rsidRPr="00612923">
        <w:t>Matched Control Group Methodology</w:t>
      </w:r>
      <w:bookmarkEnd w:id="25"/>
      <w:bookmarkEnd w:id="26"/>
    </w:p>
    <w:p w:rsidR="00701E06" w:rsidRPr="00612923" w:rsidRDefault="00701E06" w:rsidP="00701E06">
      <w:pPr>
        <w:pStyle w:val="BodyParagraph"/>
      </w:pPr>
      <w:r w:rsidRPr="00612923">
        <w:t xml:space="preserve">The primary source of reference loads, and hence impact estimates, was a series of matched control groups.  These control groups are assembled from among the non-SmartRate population.  The methods used to assemble the groups are designed to ensure that the control group load on </w:t>
      </w:r>
      <w:r w:rsidRPr="00612923">
        <w:lastRenderedPageBreak/>
        <w:t>event</w:t>
      </w:r>
      <w:r w:rsidR="007F19E2" w:rsidRPr="00612923">
        <w:t> </w:t>
      </w:r>
      <w:r w:rsidRPr="00612923">
        <w:t>days is an accurate estimate of what load would have been among SmartRate customers on</w:t>
      </w:r>
      <w:r w:rsidR="007F19E2" w:rsidRPr="00612923">
        <w:t> </w:t>
      </w:r>
      <w:r w:rsidRPr="00612923">
        <w:t>event</w:t>
      </w:r>
      <w:r w:rsidR="007F19E2" w:rsidRPr="00612923">
        <w:t> </w:t>
      </w:r>
      <w:r w:rsidRPr="00612923">
        <w:t xml:space="preserve">days.  </w:t>
      </w:r>
    </w:p>
    <w:p w:rsidR="00701E06" w:rsidRPr="00612923" w:rsidRDefault="00701E06" w:rsidP="00701E06">
      <w:pPr>
        <w:pStyle w:val="BodyParagraph"/>
      </w:pPr>
      <w:r w:rsidRPr="00612923">
        <w:t>The fundamental idea behind the matching process is to find customers who were not subject to SmartRate events that have similar characteristics to those who were subject to SmartRate events.  To account for the changes the SmartRate population experienced over the summer of 2012, six different control groups were assembled: three for the SmartRate-Only population and three for the group of SmartRate customers also enrolled in SmartAC.  This is because the group of SmartRate customers who participated in the first three events was different than the set of customers who experienced the fourth event and those who experienced the last six events.  The difference in the population across the first three events only was trivial because they were on consecutive days.  A similar point applies to the last six events, although they were not all across consecutive days.  Each control group was used to match the SmartRate population for these specific sets of events.</w:t>
      </w:r>
    </w:p>
    <w:p w:rsidR="00701E06" w:rsidRPr="00612923" w:rsidRDefault="00701E06" w:rsidP="00701E06">
      <w:pPr>
        <w:pStyle w:val="BodyParagraph"/>
      </w:pPr>
      <w:r w:rsidRPr="00612923">
        <w:t xml:space="preserve">The control groups were selected using a propensity score match to find customers who had load shapes most similar to SmartRate customers.  In this procedure, a </w:t>
      </w:r>
      <w:proofErr w:type="spellStart"/>
      <w:r w:rsidRPr="00612923">
        <w:t>probit</w:t>
      </w:r>
      <w:proofErr w:type="spellEnd"/>
      <w:r w:rsidRPr="00612923">
        <w:t xml:space="preserve"> model is used to estimate a score for each customer based on a set of observable variables that are assumed to affect the decision to join SmartRate.  A </w:t>
      </w:r>
      <w:proofErr w:type="spellStart"/>
      <w:r w:rsidRPr="00612923">
        <w:t>probit</w:t>
      </w:r>
      <w:proofErr w:type="spellEnd"/>
      <w:r w:rsidRPr="00612923">
        <w:t xml:space="preserve"> model is a regression model designed to estimate probabilities</w:t>
      </w:r>
      <w:r w:rsidR="007F19E2" w:rsidRPr="00612923">
        <w:t>—</w:t>
      </w:r>
      <w:r w:rsidRPr="00612923">
        <w:t>in this case, the probability that a customer would choose SmartRate.  The score can be interpreted two different ways.  First, the propensity score can be thought of as a summary variable that includes all the relevant information in the observable variables about whether a customer would choose to be on SmartRate.  Each customer in the SmartRate population is matched with a customer in the non-SmartRate population that has the closest propensity score.  The second way to think of the propensity score is as the probability that that customer will join SmartRate based on the included independent variables.  Thinking of it this way, each customer in the control group is matched to a SmartRate customer with a similar probability of joining SmartRate given the observed variables.</w:t>
      </w:r>
    </w:p>
    <w:p w:rsidR="00701E06" w:rsidRPr="00612923" w:rsidRDefault="00701E06" w:rsidP="00701E06">
      <w:pPr>
        <w:pStyle w:val="BodyParagraph"/>
      </w:pPr>
      <w:r w:rsidRPr="00612923">
        <w:t>The match was performed within each LCA and was based on an extensive list of customer characteristics including a set of variables that characterize load shape and the magnitude of electricity use on hot, non-event days.</w:t>
      </w:r>
      <w:r w:rsidRPr="00612923">
        <w:rPr>
          <w:rStyle w:val="FootnoteReference"/>
        </w:rPr>
        <w:footnoteReference w:id="11"/>
      </w:r>
    </w:p>
    <w:p w:rsidR="00701E06" w:rsidRPr="00612923" w:rsidRDefault="00701E06" w:rsidP="00701E06">
      <w:pPr>
        <w:pStyle w:val="BodyParagraph"/>
      </w:pPr>
      <w:r w:rsidRPr="00612923">
        <w:t>The set of usage variables in the propensity score model were average hourly usage for the whole day</w:t>
      </w:r>
      <w:r w:rsidR="007F19E2" w:rsidRPr="00612923">
        <w:t> </w:t>
      </w:r>
      <w:r w:rsidRPr="00612923">
        <w:t xml:space="preserve">and the average hourly usage for each of the hours in the morning and each of the hours that SmartRate events are called (2-7 PM), all calculated over the </w:t>
      </w:r>
      <w:r w:rsidR="007F19E2" w:rsidRPr="00612923">
        <w:t xml:space="preserve">10 </w:t>
      </w:r>
      <w:r w:rsidRPr="00612923">
        <w:t>hottest, non-event, non-holiday weekdays.</w:t>
      </w:r>
      <w:r w:rsidRPr="00612923">
        <w:rPr>
          <w:rStyle w:val="FootnoteReference"/>
        </w:rPr>
        <w:footnoteReference w:id="12"/>
      </w:r>
      <w:r w:rsidRPr="00612923">
        <w:t xml:space="preserve">  These days were chosen because they were the only days with temperatures that </w:t>
      </w:r>
      <w:r w:rsidR="00F24A3E">
        <w:t xml:space="preserve">best reflected </w:t>
      </w:r>
      <w:r w:rsidRPr="00612923">
        <w:t xml:space="preserve">those on event days.  Matches were tested based on other sets of hours and the final model was chosen because it resulted in the closet match between SmartRate and control customer average usage during event hours on hot, non-event days (discussed below).  The final </w:t>
      </w:r>
      <w:proofErr w:type="spellStart"/>
      <w:r w:rsidRPr="00612923">
        <w:t>probit</w:t>
      </w:r>
      <w:proofErr w:type="spellEnd"/>
      <w:r w:rsidRPr="00612923">
        <w:t xml:space="preserve"> model results from the second match are shown in Appendix A.</w:t>
      </w:r>
    </w:p>
    <w:p w:rsidR="00701E06" w:rsidRPr="00612923" w:rsidRDefault="00701E06" w:rsidP="00701E06">
      <w:pPr>
        <w:pStyle w:val="BodyParagraph"/>
      </w:pPr>
      <w:r w:rsidRPr="00612923">
        <w:t>A match was found for each SmartRate customer, but the same control customer could be matched to</w:t>
      </w:r>
      <w:r w:rsidR="007F19E2" w:rsidRPr="00612923">
        <w:t> </w:t>
      </w:r>
      <w:r w:rsidRPr="00612923">
        <w:t xml:space="preserve">multiple SmartRate customers, meaning that a control customer would be represented more than once in the control group.  </w:t>
      </w:r>
    </w:p>
    <w:p w:rsidR="00701E06" w:rsidRPr="00612923" w:rsidRDefault="00701E06" w:rsidP="00701E06">
      <w:pPr>
        <w:pStyle w:val="BodyParagraph"/>
      </w:pPr>
      <w:r w:rsidRPr="00612923">
        <w:lastRenderedPageBreak/>
        <w:t>Table 3-1 compares the final matched control group to the SmartRate sample based on LCA, CARE status and average monthly usage in June and July 2011.  The last two columns of Table 3-1 show t</w:t>
      </w:r>
      <w:r w:rsidR="007F19E2" w:rsidRPr="00612923">
        <w:noBreakHyphen/>
      </w:r>
      <w:proofErr w:type="spellStart"/>
      <w:r w:rsidRPr="00612923">
        <w:t>statistics</w:t>
      </w:r>
      <w:proofErr w:type="spellEnd"/>
      <w:r w:rsidRPr="00612923">
        <w:t xml:space="preserve"> and p-values for tests of the hypothesis that the mean value do not differ between the groups.  The two groups match closely across LCAs.  For average usage during summer months and CARE status, fairly small but statistically significant differences exist between the groups.  This shows that the groups are fairly well, but not perfectly balanced.  It is uncertain what </w:t>
      </w:r>
      <w:r w:rsidR="00F24A3E">
        <w:t>bias</w:t>
      </w:r>
      <w:r w:rsidRPr="00612923">
        <w:t xml:space="preserve"> this imbalance </w:t>
      </w:r>
      <w:r w:rsidR="00F24A3E">
        <w:t xml:space="preserve">would lead to </w:t>
      </w:r>
      <w:r w:rsidRPr="00612923">
        <w:t xml:space="preserve">in </w:t>
      </w:r>
      <w:r w:rsidR="0045539A" w:rsidRPr="00612923">
        <w:t>the results</w:t>
      </w:r>
      <w:r w:rsidRPr="00612923">
        <w:t>, but it is not likely to be large.  For example</w:t>
      </w:r>
      <w:r w:rsidR="007F19E2" w:rsidRPr="00612923">
        <w:t>,</w:t>
      </w:r>
      <w:r w:rsidRPr="00612923">
        <w:t xml:space="preserve"> the difference in average June usage between the SmartRate group and the matched control group is only about 2%</w:t>
      </w:r>
      <w:r w:rsidR="0045539A">
        <w:t xml:space="preserve"> and </w:t>
      </w:r>
      <w:r w:rsidR="004A0426">
        <w:t>not statistically significant</w:t>
      </w:r>
      <w:r w:rsidRPr="00612923">
        <w:t>.</w:t>
      </w:r>
    </w:p>
    <w:p w:rsidR="00701E06" w:rsidRPr="00612923" w:rsidRDefault="00701E06" w:rsidP="00701E06">
      <w:pPr>
        <w:pStyle w:val="TableFigureCaption"/>
      </w:pPr>
      <w:r w:rsidRPr="00612923">
        <w:t>Table 3-1: Distributions of LCA, Usage and CARE Status for SmartRate Customers, Control Customers and the Residential Population</w:t>
      </w:r>
      <w:r w:rsidRPr="00612923">
        <w:rPr>
          <w:rStyle w:val="FootnoteReference"/>
        </w:rPr>
        <w:footnoteReference w:id="13"/>
      </w:r>
      <w:r w:rsidRPr="00612923">
        <w:t xml:space="preserve"> </w:t>
      </w:r>
    </w:p>
    <w:tbl>
      <w:tblPr>
        <w:tblW w:w="6469" w:type="dxa"/>
        <w:jc w:val="center"/>
        <w:tblInd w:w="-97" w:type="dxa"/>
        <w:tblLook w:val="04A0"/>
      </w:tblPr>
      <w:tblGrid>
        <w:gridCol w:w="1740"/>
        <w:gridCol w:w="1354"/>
        <w:gridCol w:w="1097"/>
        <w:gridCol w:w="1274"/>
        <w:gridCol w:w="1004"/>
      </w:tblGrid>
      <w:tr w:rsidR="00701E06" w:rsidRPr="00612923" w:rsidTr="00701E06">
        <w:trPr>
          <w:trHeight w:val="510"/>
          <w:jc w:val="center"/>
        </w:trPr>
        <w:tc>
          <w:tcPr>
            <w:tcW w:w="1740" w:type="dxa"/>
            <w:tcBorders>
              <w:top w:val="single" w:sz="8" w:space="0" w:color="auto"/>
              <w:left w:val="single" w:sz="8" w:space="0" w:color="auto"/>
              <w:bottom w:val="nil"/>
              <w:right w:val="single" w:sz="8" w:space="0" w:color="FFFFFF"/>
            </w:tcBorders>
            <w:shd w:val="clear" w:color="000000" w:fill="1F497D"/>
            <w:vAlign w:val="center"/>
            <w:hideMark/>
          </w:tcPr>
          <w:p w:rsidR="00701E06" w:rsidRPr="00612923" w:rsidRDefault="00701E06" w:rsidP="00254844">
            <w:pPr>
              <w:pStyle w:val="TableHeader"/>
              <w:keepNext/>
            </w:pPr>
            <w:r w:rsidRPr="00612923">
              <w:t>Characteristic</w:t>
            </w:r>
          </w:p>
        </w:tc>
        <w:tc>
          <w:tcPr>
            <w:tcW w:w="1354" w:type="dxa"/>
            <w:tcBorders>
              <w:top w:val="single" w:sz="8" w:space="0" w:color="auto"/>
              <w:left w:val="nil"/>
              <w:bottom w:val="nil"/>
              <w:right w:val="single" w:sz="8" w:space="0" w:color="FFFFFF"/>
            </w:tcBorders>
            <w:shd w:val="clear" w:color="000000" w:fill="1F497D"/>
            <w:vAlign w:val="center"/>
            <w:hideMark/>
          </w:tcPr>
          <w:p w:rsidR="00701E06" w:rsidRPr="00612923" w:rsidRDefault="00701E06" w:rsidP="00254844">
            <w:pPr>
              <w:pStyle w:val="TableHeader"/>
              <w:keepNext/>
            </w:pPr>
            <w:r w:rsidRPr="00612923">
              <w:t>SmartRate Population</w:t>
            </w:r>
          </w:p>
        </w:tc>
        <w:tc>
          <w:tcPr>
            <w:tcW w:w="1097" w:type="dxa"/>
            <w:tcBorders>
              <w:top w:val="single" w:sz="8" w:space="0" w:color="auto"/>
              <w:left w:val="nil"/>
              <w:bottom w:val="nil"/>
              <w:right w:val="single" w:sz="8" w:space="0" w:color="FFFFFF"/>
            </w:tcBorders>
            <w:shd w:val="clear" w:color="000000" w:fill="1F497D"/>
            <w:vAlign w:val="center"/>
            <w:hideMark/>
          </w:tcPr>
          <w:p w:rsidR="00701E06" w:rsidRPr="00612923" w:rsidRDefault="00701E06" w:rsidP="00254844">
            <w:pPr>
              <w:pStyle w:val="TableHeader"/>
              <w:keepNext/>
            </w:pPr>
            <w:r w:rsidRPr="00612923">
              <w:t>Matched Control Group</w:t>
            </w:r>
          </w:p>
        </w:tc>
        <w:tc>
          <w:tcPr>
            <w:tcW w:w="1274" w:type="dxa"/>
            <w:tcBorders>
              <w:top w:val="single" w:sz="8" w:space="0" w:color="auto"/>
              <w:left w:val="nil"/>
              <w:bottom w:val="nil"/>
              <w:right w:val="single" w:sz="8" w:space="0" w:color="FFFFFF"/>
            </w:tcBorders>
            <w:shd w:val="clear" w:color="000000" w:fill="1F497D"/>
            <w:vAlign w:val="center"/>
            <w:hideMark/>
          </w:tcPr>
          <w:p w:rsidR="00701E06" w:rsidRPr="00612923" w:rsidRDefault="00701E06" w:rsidP="00254844">
            <w:pPr>
              <w:pStyle w:val="TableHeader"/>
              <w:keepNext/>
            </w:pPr>
            <w:r w:rsidRPr="00612923">
              <w:t>t</w:t>
            </w:r>
          </w:p>
        </w:tc>
        <w:tc>
          <w:tcPr>
            <w:tcW w:w="1004" w:type="dxa"/>
            <w:tcBorders>
              <w:top w:val="single" w:sz="8" w:space="0" w:color="auto"/>
              <w:left w:val="nil"/>
              <w:bottom w:val="nil"/>
              <w:right w:val="nil"/>
            </w:tcBorders>
            <w:shd w:val="clear" w:color="000000" w:fill="1F497D"/>
            <w:vAlign w:val="center"/>
            <w:hideMark/>
          </w:tcPr>
          <w:p w:rsidR="00701E06" w:rsidRPr="00612923" w:rsidRDefault="00701E06" w:rsidP="00254844">
            <w:pPr>
              <w:pStyle w:val="TableHeader"/>
              <w:keepNext/>
            </w:pPr>
            <w:r w:rsidRPr="00612923">
              <w:t>p</w:t>
            </w:r>
          </w:p>
        </w:tc>
      </w:tr>
      <w:tr w:rsidR="00701E06" w:rsidRPr="00612923" w:rsidTr="00701E06">
        <w:trPr>
          <w:trHeight w:val="300"/>
          <w:jc w:val="center"/>
        </w:trPr>
        <w:tc>
          <w:tcPr>
            <w:tcW w:w="17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Greater Bay Area</w:t>
            </w:r>
          </w:p>
        </w:tc>
        <w:tc>
          <w:tcPr>
            <w:tcW w:w="1354" w:type="dxa"/>
            <w:tcBorders>
              <w:top w:val="single" w:sz="4" w:space="0" w:color="auto"/>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37%</w:t>
            </w:r>
          </w:p>
        </w:tc>
        <w:tc>
          <w:tcPr>
            <w:tcW w:w="1097" w:type="dxa"/>
            <w:tcBorders>
              <w:top w:val="single" w:sz="4" w:space="0" w:color="auto"/>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37%</w:t>
            </w:r>
          </w:p>
        </w:tc>
        <w:tc>
          <w:tcPr>
            <w:tcW w:w="1274" w:type="dxa"/>
            <w:tcBorders>
              <w:top w:val="single" w:sz="4" w:space="0" w:color="auto"/>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0.00</w:t>
            </w:r>
          </w:p>
        </w:tc>
        <w:tc>
          <w:tcPr>
            <w:tcW w:w="1004" w:type="dxa"/>
            <w:tcBorders>
              <w:top w:val="single" w:sz="4" w:space="0" w:color="auto"/>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1.00</w:t>
            </w:r>
          </w:p>
        </w:tc>
      </w:tr>
      <w:tr w:rsidR="00701E06" w:rsidRPr="00612923" w:rsidTr="00701E06">
        <w:trPr>
          <w:trHeight w:val="300"/>
          <w:jc w:val="center"/>
        </w:trPr>
        <w:tc>
          <w:tcPr>
            <w:tcW w:w="1740"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Greater Fresno</w:t>
            </w:r>
          </w:p>
        </w:tc>
        <w:tc>
          <w:tcPr>
            <w:tcW w:w="135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12%</w:t>
            </w:r>
          </w:p>
        </w:tc>
        <w:tc>
          <w:tcPr>
            <w:tcW w:w="109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12%</w:t>
            </w:r>
          </w:p>
        </w:tc>
        <w:tc>
          <w:tcPr>
            <w:tcW w:w="127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0.00</w:t>
            </w:r>
          </w:p>
        </w:tc>
        <w:tc>
          <w:tcPr>
            <w:tcW w:w="100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1.00</w:t>
            </w:r>
          </w:p>
        </w:tc>
      </w:tr>
      <w:tr w:rsidR="00701E06" w:rsidRPr="00612923" w:rsidTr="00701E06">
        <w:trPr>
          <w:trHeight w:val="300"/>
          <w:jc w:val="center"/>
        </w:trPr>
        <w:tc>
          <w:tcPr>
            <w:tcW w:w="1740"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Kern</w:t>
            </w:r>
          </w:p>
        </w:tc>
        <w:tc>
          <w:tcPr>
            <w:tcW w:w="135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21%</w:t>
            </w:r>
          </w:p>
        </w:tc>
        <w:tc>
          <w:tcPr>
            <w:tcW w:w="109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21%</w:t>
            </w:r>
          </w:p>
        </w:tc>
        <w:tc>
          <w:tcPr>
            <w:tcW w:w="127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0.00</w:t>
            </w:r>
          </w:p>
        </w:tc>
        <w:tc>
          <w:tcPr>
            <w:tcW w:w="100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1.00</w:t>
            </w:r>
          </w:p>
        </w:tc>
      </w:tr>
      <w:tr w:rsidR="00701E06" w:rsidRPr="00612923" w:rsidTr="00701E06">
        <w:trPr>
          <w:trHeight w:val="300"/>
          <w:jc w:val="center"/>
        </w:trPr>
        <w:tc>
          <w:tcPr>
            <w:tcW w:w="1740"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Northern Coast</w:t>
            </w:r>
          </w:p>
        </w:tc>
        <w:tc>
          <w:tcPr>
            <w:tcW w:w="135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w:t>
            </w:r>
          </w:p>
        </w:tc>
        <w:tc>
          <w:tcPr>
            <w:tcW w:w="109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w:t>
            </w:r>
          </w:p>
        </w:tc>
        <w:tc>
          <w:tcPr>
            <w:tcW w:w="127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-0.03</w:t>
            </w:r>
          </w:p>
        </w:tc>
        <w:tc>
          <w:tcPr>
            <w:tcW w:w="100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0.98</w:t>
            </w:r>
          </w:p>
        </w:tc>
      </w:tr>
      <w:tr w:rsidR="00701E06" w:rsidRPr="00612923" w:rsidTr="00701E06">
        <w:trPr>
          <w:trHeight w:val="300"/>
          <w:jc w:val="center"/>
        </w:trPr>
        <w:tc>
          <w:tcPr>
            <w:tcW w:w="1740"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Other</w:t>
            </w:r>
          </w:p>
        </w:tc>
        <w:tc>
          <w:tcPr>
            <w:tcW w:w="135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14%</w:t>
            </w:r>
          </w:p>
        </w:tc>
        <w:tc>
          <w:tcPr>
            <w:tcW w:w="109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14%</w:t>
            </w:r>
          </w:p>
        </w:tc>
        <w:tc>
          <w:tcPr>
            <w:tcW w:w="127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0.00</w:t>
            </w:r>
          </w:p>
        </w:tc>
        <w:tc>
          <w:tcPr>
            <w:tcW w:w="100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1.00</w:t>
            </w:r>
          </w:p>
        </w:tc>
      </w:tr>
      <w:tr w:rsidR="00701E06" w:rsidRPr="00612923" w:rsidTr="00701E06">
        <w:trPr>
          <w:trHeight w:val="300"/>
          <w:jc w:val="center"/>
        </w:trPr>
        <w:tc>
          <w:tcPr>
            <w:tcW w:w="1740"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Sierra</w:t>
            </w:r>
          </w:p>
        </w:tc>
        <w:tc>
          <w:tcPr>
            <w:tcW w:w="135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6%</w:t>
            </w:r>
          </w:p>
        </w:tc>
        <w:tc>
          <w:tcPr>
            <w:tcW w:w="109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6%</w:t>
            </w:r>
          </w:p>
        </w:tc>
        <w:tc>
          <w:tcPr>
            <w:tcW w:w="127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0.00</w:t>
            </w:r>
          </w:p>
        </w:tc>
        <w:tc>
          <w:tcPr>
            <w:tcW w:w="100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1.00</w:t>
            </w:r>
          </w:p>
        </w:tc>
      </w:tr>
      <w:tr w:rsidR="00701E06" w:rsidRPr="00612923" w:rsidTr="00701E06">
        <w:trPr>
          <w:trHeight w:val="300"/>
          <w:jc w:val="center"/>
        </w:trPr>
        <w:tc>
          <w:tcPr>
            <w:tcW w:w="1740"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Stockton</w:t>
            </w:r>
          </w:p>
        </w:tc>
        <w:tc>
          <w:tcPr>
            <w:tcW w:w="135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7%</w:t>
            </w:r>
          </w:p>
        </w:tc>
        <w:tc>
          <w:tcPr>
            <w:tcW w:w="109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7%</w:t>
            </w:r>
          </w:p>
        </w:tc>
        <w:tc>
          <w:tcPr>
            <w:tcW w:w="127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0.00</w:t>
            </w:r>
          </w:p>
        </w:tc>
        <w:tc>
          <w:tcPr>
            <w:tcW w:w="100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1.00</w:t>
            </w:r>
          </w:p>
        </w:tc>
      </w:tr>
      <w:tr w:rsidR="00701E06" w:rsidRPr="00612923" w:rsidTr="00701E06">
        <w:trPr>
          <w:trHeight w:val="300"/>
          <w:jc w:val="center"/>
        </w:trPr>
        <w:tc>
          <w:tcPr>
            <w:tcW w:w="1740"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June 2012 kWh</w:t>
            </w:r>
          </w:p>
        </w:tc>
        <w:tc>
          <w:tcPr>
            <w:tcW w:w="135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672</w:t>
            </w:r>
          </w:p>
        </w:tc>
        <w:tc>
          <w:tcPr>
            <w:tcW w:w="109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686</w:t>
            </w:r>
          </w:p>
        </w:tc>
        <w:tc>
          <w:tcPr>
            <w:tcW w:w="127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3.16</w:t>
            </w:r>
          </w:p>
        </w:tc>
        <w:tc>
          <w:tcPr>
            <w:tcW w:w="100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0.00</w:t>
            </w:r>
          </w:p>
        </w:tc>
      </w:tr>
      <w:tr w:rsidR="00701E06" w:rsidRPr="00612923" w:rsidTr="00701E06">
        <w:trPr>
          <w:trHeight w:val="300"/>
          <w:jc w:val="center"/>
        </w:trPr>
        <w:tc>
          <w:tcPr>
            <w:tcW w:w="1740"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July 2012 kWh</w:t>
            </w:r>
          </w:p>
        </w:tc>
        <w:tc>
          <w:tcPr>
            <w:tcW w:w="135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750</w:t>
            </w:r>
          </w:p>
        </w:tc>
        <w:tc>
          <w:tcPr>
            <w:tcW w:w="109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762</w:t>
            </w:r>
          </w:p>
        </w:tc>
        <w:tc>
          <w:tcPr>
            <w:tcW w:w="127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2.24</w:t>
            </w:r>
          </w:p>
        </w:tc>
        <w:tc>
          <w:tcPr>
            <w:tcW w:w="100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0.03</w:t>
            </w:r>
          </w:p>
        </w:tc>
      </w:tr>
      <w:tr w:rsidR="00701E06" w:rsidRPr="00612923" w:rsidTr="00701E06">
        <w:trPr>
          <w:trHeight w:val="300"/>
          <w:jc w:val="center"/>
        </w:trPr>
        <w:tc>
          <w:tcPr>
            <w:tcW w:w="1740"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Non-CARE</w:t>
            </w:r>
          </w:p>
        </w:tc>
        <w:tc>
          <w:tcPr>
            <w:tcW w:w="135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60%</w:t>
            </w:r>
          </w:p>
        </w:tc>
        <w:tc>
          <w:tcPr>
            <w:tcW w:w="109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67%</w:t>
            </w:r>
          </w:p>
        </w:tc>
        <w:tc>
          <w:tcPr>
            <w:tcW w:w="127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-14.68</w:t>
            </w:r>
          </w:p>
        </w:tc>
        <w:tc>
          <w:tcPr>
            <w:tcW w:w="100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0.00</w:t>
            </w:r>
          </w:p>
        </w:tc>
      </w:tr>
      <w:tr w:rsidR="00701E06" w:rsidRPr="00612923" w:rsidTr="00701E06">
        <w:trPr>
          <w:trHeight w:val="300"/>
          <w:jc w:val="center"/>
        </w:trPr>
        <w:tc>
          <w:tcPr>
            <w:tcW w:w="1740"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701E06">
            <w:pPr>
              <w:pStyle w:val="TableText"/>
            </w:pPr>
            <w:r w:rsidRPr="00612923">
              <w:t>CARE</w:t>
            </w:r>
          </w:p>
        </w:tc>
        <w:tc>
          <w:tcPr>
            <w:tcW w:w="135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40%</w:t>
            </w:r>
          </w:p>
        </w:tc>
        <w:tc>
          <w:tcPr>
            <w:tcW w:w="109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33%</w:t>
            </w:r>
          </w:p>
        </w:tc>
        <w:tc>
          <w:tcPr>
            <w:tcW w:w="127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-14.68</w:t>
            </w:r>
          </w:p>
        </w:tc>
        <w:tc>
          <w:tcPr>
            <w:tcW w:w="1004"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0.00</w:t>
            </w:r>
          </w:p>
        </w:tc>
      </w:tr>
    </w:tbl>
    <w:p w:rsidR="00701E06" w:rsidRPr="00612923" w:rsidRDefault="00701E06" w:rsidP="00701E06">
      <w:pPr>
        <w:pStyle w:val="BodyParaAfterTableFigure"/>
        <w:rPr>
          <w:szCs w:val="20"/>
        </w:rPr>
      </w:pPr>
      <w:r w:rsidRPr="00612923">
        <w:t>A potential source of bias in this methodology is that SmartRate customers may behave differently on</w:t>
      </w:r>
      <w:r w:rsidR="007F19E2" w:rsidRPr="00612923">
        <w:t> </w:t>
      </w:r>
      <w:r w:rsidRPr="00612923">
        <w:t>non-event days than they would if they were not on SmartRate, either because they face slightly different rates than non-SmartRate customers due to SmartRate credits or due to energy saving habit formation.  This means that there is a potential bias introduced by matching SmartRate customers to customers who have similar loads on hot, non-event days because those loads may not be an accurate representation of what SmartRate customers would have used if they were not on the program.  As mentioned above, our maintained hypothesis is that this effect is very small.  For the current analysis, we assume that the difference in usage between SmartRate and control customers due to price differences is negligible.</w:t>
      </w:r>
    </w:p>
    <w:p w:rsidR="00701E06" w:rsidRPr="00612923" w:rsidRDefault="00701E06" w:rsidP="00701E06">
      <w:pPr>
        <w:pStyle w:val="BodyParagraph"/>
      </w:pPr>
      <w:r w:rsidRPr="00612923">
        <w:t xml:space="preserve">After the matched control groups were identified, they were validated by comparing SmartRate customer characteristics to control group characteristics.  The most important of these characteristics was usage on hot, non-event days.  If the two groups have similar usage on hot non-event days, then </w:t>
      </w:r>
      <w:r w:rsidRPr="00612923">
        <w:lastRenderedPageBreak/>
        <w:t>it is likely that the control group’s usage is an accurate estimate of event day reference load.  Figure 3-1 shows average hourly usage for both groups on hot, non-event days during event hours.  Over the event period (2 to 7 PM), usage is very similar between the two groups, with a difference of about 1%, on average.  Appendix A includes more detail on the data underlying Figure 3-1, including the data for each day separately.</w:t>
      </w:r>
    </w:p>
    <w:p w:rsidR="00701E06" w:rsidRPr="00612923" w:rsidRDefault="00701E06" w:rsidP="00701E06">
      <w:pPr>
        <w:pStyle w:val="TableFigureCaption"/>
        <w:rPr>
          <w:vertAlign w:val="superscript"/>
        </w:rPr>
      </w:pPr>
      <w:r w:rsidRPr="00612923">
        <w:t>Figure 3-1: Average Usage on Hot, Non-</w:t>
      </w:r>
      <w:r w:rsidR="007F19E2" w:rsidRPr="00612923">
        <w:t>e</w:t>
      </w:r>
      <w:r w:rsidRPr="00612923">
        <w:t xml:space="preserve">vent Days for </w:t>
      </w:r>
      <w:r w:rsidRPr="00612923">
        <w:br/>
        <w:t>SmartRate Customers and Control Group</w:t>
      </w:r>
      <w:r w:rsidRPr="00612923">
        <w:rPr>
          <w:rStyle w:val="FootnoteReference"/>
        </w:rPr>
        <w:footnoteReference w:id="14"/>
      </w:r>
      <w:r w:rsidR="00237859" w:rsidRPr="00612923">
        <w:rPr>
          <w:vertAlign w:val="superscript"/>
        </w:rPr>
        <w:t xml:space="preserve"> </w:t>
      </w:r>
    </w:p>
    <w:p w:rsidR="00701E06" w:rsidRPr="00612923" w:rsidRDefault="00701E06" w:rsidP="00701E06">
      <w:pPr>
        <w:pStyle w:val="BodyParagraph"/>
        <w:jc w:val="center"/>
      </w:pPr>
      <w:r w:rsidRPr="00612923">
        <w:rPr>
          <w:noProof/>
        </w:rPr>
        <w:drawing>
          <wp:inline distT="0" distB="0" distL="0" distR="0">
            <wp:extent cx="5943600" cy="4312920"/>
            <wp:effectExtent l="0" t="0" r="19050" b="1143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01E06" w:rsidRPr="00612923" w:rsidRDefault="00701E06" w:rsidP="00701E06">
      <w:pPr>
        <w:pStyle w:val="BodyParaAfterTableFigure"/>
      </w:pPr>
      <w:r w:rsidRPr="00612923">
        <w:t>Once the control groups were matched and validated, load impacts were estimated using a difference-in-differences methodology.  This methodology calculates the estimated impacts as the difference in average loads between SmartRate and control customers on event days minus the difference between the two groups on hot, non-event days.  This calculation controls for residual differences in load between the groups that are not eliminated through the matching process, thus reducing bias.  In the following discussion, this process is framed as an adjustment to control group usage.  This preserves the reference load framework, while still making use of the difference-in-differences methodology.</w:t>
      </w:r>
    </w:p>
    <w:p w:rsidR="00701E06" w:rsidRPr="00612923" w:rsidRDefault="00701E06" w:rsidP="00701E06">
      <w:pPr>
        <w:pStyle w:val="BodyParagraph"/>
      </w:pPr>
      <w:r w:rsidRPr="00612923">
        <w:lastRenderedPageBreak/>
        <w:t xml:space="preserve">In this process, control group usage was adjusted based on the percentage difference between SmartRate and control usage on the same hot, non-event days used in the matching process.  For example, if control group usage was 1% higher than SmartRate group usage from 2 to 7 PM across the hot, non-event days, the control group usage was decreased by 1% on all event days.  These adjustments were all quite small among the LCAs, the largest being 5.7%.  Although usage was already very close between the treatment and control groups due to matching, this adjustment was made in order to further minimize any differences between the groups that exist at relevant times.  </w:t>
      </w:r>
    </w:p>
    <w:p w:rsidR="00701E06" w:rsidRPr="00612923" w:rsidRDefault="00701E06" w:rsidP="00701E06">
      <w:pPr>
        <w:pStyle w:val="BodyParagraph"/>
      </w:pPr>
      <w:r w:rsidRPr="00612923">
        <w:t>Figure 3-2 illustrates the adjustment process.  The solid blue line shows the unadjusted control group</w:t>
      </w:r>
      <w:r w:rsidR="007F19E2" w:rsidRPr="00612923">
        <w:t> </w:t>
      </w:r>
      <w:r w:rsidRPr="00612923">
        <w:t>usage and the solid red line shows the unadjusted SmartRate usage.  As the figure shows, the adjustment is quite modest, which should be expected since matching was done based on hot, non-event day load.</w:t>
      </w:r>
    </w:p>
    <w:p w:rsidR="00701E06" w:rsidRPr="00612923" w:rsidRDefault="00701E06" w:rsidP="00701E06">
      <w:pPr>
        <w:pStyle w:val="TableFigureCaption"/>
      </w:pPr>
      <w:r w:rsidRPr="00612923">
        <w:t>Figure 3-2: Example of Control Group Usage Adjustment; June 11, 2012, SmartRate-</w:t>
      </w:r>
      <w:r w:rsidR="007F19E2" w:rsidRPr="00612923">
        <w:t>o</w:t>
      </w:r>
      <w:r w:rsidRPr="00612923">
        <w:t>nly</w:t>
      </w:r>
    </w:p>
    <w:p w:rsidR="00701E06" w:rsidRPr="00612923" w:rsidRDefault="00701E06" w:rsidP="00701E06">
      <w:pPr>
        <w:pStyle w:val="BodyParagraph"/>
      </w:pPr>
      <w:r w:rsidRPr="00612923">
        <w:rPr>
          <w:noProof/>
        </w:rPr>
        <w:drawing>
          <wp:inline distT="0" distB="0" distL="0" distR="0">
            <wp:extent cx="5943600" cy="4041140"/>
            <wp:effectExtent l="0" t="0" r="19050" b="16510"/>
            <wp:docPr id="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01E06" w:rsidRPr="00612923" w:rsidRDefault="00701E06" w:rsidP="00701E06">
      <w:pPr>
        <w:pStyle w:val="BodyParaAfterTableFigure"/>
      </w:pPr>
      <w:r w:rsidRPr="00612923">
        <w:t xml:space="preserve">After the adjustment, impact estimates are calculated by subtracting average hourly usage on each event day for SmartRate customers from adjusted average hourly usage on each event day for the matched control group.       </w:t>
      </w:r>
    </w:p>
    <w:p w:rsidR="00701E06" w:rsidRPr="00612923" w:rsidRDefault="00701E06" w:rsidP="00701E06">
      <w:pPr>
        <w:pStyle w:val="BodyParagraph"/>
      </w:pPr>
      <w:r w:rsidRPr="00612923">
        <w:t xml:space="preserve">The same methods were used to calculate impacts by CARE status and LCA.  Sample sizes were sufficiently large that average usage in the treatment and control groups matched closely even when the population was broken down into smaller categories.  Hourly adjustments based on average </w:t>
      </w:r>
      <w:r w:rsidRPr="00612923">
        <w:lastRenderedPageBreak/>
        <w:t xml:space="preserve">control usage on event days were calculated separately for each CARE status and LCA.  Table 3-2 shows the range of adjustments for each category of customers for each matched control group.  </w:t>
      </w:r>
    </w:p>
    <w:p w:rsidR="00701E06" w:rsidRPr="00612923" w:rsidRDefault="00701E06" w:rsidP="00701E06">
      <w:pPr>
        <w:pStyle w:val="TableFigureCaption"/>
      </w:pPr>
      <w:r w:rsidRPr="00612923">
        <w:t>Table 3-2: Range of Adjustments on Control Usage</w:t>
      </w:r>
      <w:r w:rsidRPr="00612923">
        <w:br/>
        <w:t xml:space="preserve"> </w:t>
      </w:r>
      <w:proofErr w:type="gramStart"/>
      <w:r w:rsidRPr="00612923">
        <w:t>By</w:t>
      </w:r>
      <w:proofErr w:type="gramEnd"/>
      <w:r w:rsidRPr="00612923">
        <w:t xml:space="preserve"> LCA and CARE Status</w:t>
      </w:r>
      <w:r w:rsidRPr="00612923">
        <w:br/>
        <w:t xml:space="preserve"> (% of Control Load)</w:t>
      </w:r>
    </w:p>
    <w:tbl>
      <w:tblPr>
        <w:tblW w:w="8750" w:type="dxa"/>
        <w:tblInd w:w="93" w:type="dxa"/>
        <w:tblLook w:val="04A0"/>
      </w:tblPr>
      <w:tblGrid>
        <w:gridCol w:w="2160"/>
        <w:gridCol w:w="1135"/>
        <w:gridCol w:w="1130"/>
        <w:gridCol w:w="1135"/>
        <w:gridCol w:w="1115"/>
        <w:gridCol w:w="1047"/>
        <w:gridCol w:w="1028"/>
      </w:tblGrid>
      <w:tr w:rsidR="00701E06" w:rsidRPr="00612923" w:rsidTr="00701E06">
        <w:trPr>
          <w:trHeight w:val="300"/>
        </w:trPr>
        <w:tc>
          <w:tcPr>
            <w:tcW w:w="2160" w:type="dxa"/>
            <w:vMerge w:val="restart"/>
            <w:tcBorders>
              <w:top w:val="single" w:sz="4" w:space="0" w:color="auto"/>
              <w:left w:val="single" w:sz="4" w:space="0" w:color="auto"/>
              <w:bottom w:val="single" w:sz="4" w:space="0" w:color="000000"/>
              <w:right w:val="single" w:sz="4" w:space="0" w:color="FFFFFF"/>
            </w:tcBorders>
            <w:shd w:val="clear" w:color="000000" w:fill="1F497D"/>
            <w:vAlign w:val="center"/>
            <w:hideMark/>
          </w:tcPr>
          <w:p w:rsidR="00701E06" w:rsidRPr="00612923" w:rsidRDefault="00701E06" w:rsidP="00254844">
            <w:pPr>
              <w:pStyle w:val="TableHeader"/>
              <w:keepNext/>
            </w:pPr>
            <w:r w:rsidRPr="00612923">
              <w:t>LCA</w:t>
            </w:r>
          </w:p>
        </w:tc>
        <w:tc>
          <w:tcPr>
            <w:tcW w:w="2265" w:type="dxa"/>
            <w:gridSpan w:val="2"/>
            <w:tcBorders>
              <w:top w:val="single" w:sz="4" w:space="0" w:color="auto"/>
              <w:left w:val="nil"/>
              <w:bottom w:val="single" w:sz="4" w:space="0" w:color="FFFFFF"/>
              <w:right w:val="single" w:sz="4" w:space="0" w:color="FFFFFF"/>
            </w:tcBorders>
            <w:shd w:val="clear" w:color="000000" w:fill="1F497D"/>
            <w:vAlign w:val="center"/>
            <w:hideMark/>
          </w:tcPr>
          <w:p w:rsidR="00701E06" w:rsidRPr="00612923" w:rsidRDefault="00701E06" w:rsidP="00254844">
            <w:pPr>
              <w:pStyle w:val="TableHeader"/>
              <w:keepNext/>
            </w:pPr>
            <w:r w:rsidRPr="00612923">
              <w:t>First 3 Events</w:t>
            </w:r>
          </w:p>
        </w:tc>
        <w:tc>
          <w:tcPr>
            <w:tcW w:w="2250" w:type="dxa"/>
            <w:gridSpan w:val="2"/>
            <w:tcBorders>
              <w:top w:val="single" w:sz="4" w:space="0" w:color="auto"/>
              <w:left w:val="nil"/>
              <w:bottom w:val="single" w:sz="4" w:space="0" w:color="FFFFFF"/>
              <w:right w:val="single" w:sz="4" w:space="0" w:color="FFFFFF"/>
            </w:tcBorders>
            <w:shd w:val="clear" w:color="000000" w:fill="1F497D"/>
            <w:vAlign w:val="center"/>
            <w:hideMark/>
          </w:tcPr>
          <w:p w:rsidR="00701E06" w:rsidRPr="00612923" w:rsidRDefault="00701E06" w:rsidP="00254844">
            <w:pPr>
              <w:pStyle w:val="TableHeader"/>
              <w:keepNext/>
            </w:pPr>
            <w:r w:rsidRPr="00612923">
              <w:t>Fourth Event</w:t>
            </w:r>
          </w:p>
        </w:tc>
        <w:tc>
          <w:tcPr>
            <w:tcW w:w="2075" w:type="dxa"/>
            <w:gridSpan w:val="2"/>
            <w:tcBorders>
              <w:top w:val="single" w:sz="4" w:space="0" w:color="auto"/>
              <w:left w:val="nil"/>
              <w:bottom w:val="single" w:sz="4" w:space="0" w:color="FFFFFF"/>
              <w:right w:val="single" w:sz="4" w:space="0" w:color="000000"/>
            </w:tcBorders>
            <w:shd w:val="clear" w:color="000000" w:fill="1F497D"/>
            <w:vAlign w:val="center"/>
            <w:hideMark/>
          </w:tcPr>
          <w:p w:rsidR="00701E06" w:rsidRPr="00612923" w:rsidRDefault="00701E06" w:rsidP="00254844">
            <w:pPr>
              <w:pStyle w:val="TableHeader"/>
              <w:keepNext/>
            </w:pPr>
            <w:r w:rsidRPr="00612923">
              <w:t>Last 6 Events</w:t>
            </w:r>
          </w:p>
        </w:tc>
      </w:tr>
      <w:tr w:rsidR="00701E06" w:rsidRPr="00612923" w:rsidTr="00701E06">
        <w:trPr>
          <w:trHeight w:val="300"/>
        </w:trPr>
        <w:tc>
          <w:tcPr>
            <w:tcW w:w="2160" w:type="dxa"/>
            <w:vMerge/>
            <w:tcBorders>
              <w:top w:val="single" w:sz="4" w:space="0" w:color="auto"/>
              <w:left w:val="single" w:sz="4" w:space="0" w:color="auto"/>
              <w:bottom w:val="single" w:sz="4" w:space="0" w:color="000000"/>
              <w:right w:val="single" w:sz="4" w:space="0" w:color="FFFFFF"/>
            </w:tcBorders>
            <w:vAlign w:val="center"/>
            <w:hideMark/>
          </w:tcPr>
          <w:p w:rsidR="00701E06" w:rsidRPr="00612923" w:rsidRDefault="00701E06" w:rsidP="00254844">
            <w:pPr>
              <w:pStyle w:val="TableHeader"/>
              <w:keepNext/>
            </w:pPr>
          </w:p>
        </w:tc>
        <w:tc>
          <w:tcPr>
            <w:tcW w:w="1135" w:type="dxa"/>
            <w:tcBorders>
              <w:top w:val="nil"/>
              <w:left w:val="nil"/>
              <w:bottom w:val="single" w:sz="4" w:space="0" w:color="auto"/>
              <w:right w:val="single" w:sz="4" w:space="0" w:color="FFFFFF"/>
            </w:tcBorders>
            <w:shd w:val="clear" w:color="000000" w:fill="1F497D"/>
            <w:noWrap/>
            <w:vAlign w:val="center"/>
            <w:hideMark/>
          </w:tcPr>
          <w:p w:rsidR="00701E06" w:rsidRPr="00612923" w:rsidRDefault="00701E06" w:rsidP="00254844">
            <w:pPr>
              <w:pStyle w:val="TableHeader"/>
              <w:keepNext/>
            </w:pPr>
            <w:r w:rsidRPr="00612923">
              <w:t>SMR-Only</w:t>
            </w:r>
          </w:p>
        </w:tc>
        <w:tc>
          <w:tcPr>
            <w:tcW w:w="1130" w:type="dxa"/>
            <w:tcBorders>
              <w:top w:val="nil"/>
              <w:left w:val="nil"/>
              <w:bottom w:val="single" w:sz="4" w:space="0" w:color="auto"/>
              <w:right w:val="single" w:sz="4" w:space="0" w:color="FFFFFF"/>
            </w:tcBorders>
            <w:shd w:val="clear" w:color="000000" w:fill="1F497D"/>
            <w:noWrap/>
            <w:vAlign w:val="center"/>
            <w:hideMark/>
          </w:tcPr>
          <w:p w:rsidR="00701E06" w:rsidRPr="00612923" w:rsidRDefault="00701E06" w:rsidP="00254844">
            <w:pPr>
              <w:pStyle w:val="TableHeader"/>
              <w:keepNext/>
            </w:pPr>
            <w:r w:rsidRPr="00612923">
              <w:t>Dually Enrolled</w:t>
            </w:r>
          </w:p>
        </w:tc>
        <w:tc>
          <w:tcPr>
            <w:tcW w:w="1135" w:type="dxa"/>
            <w:tcBorders>
              <w:top w:val="nil"/>
              <w:left w:val="nil"/>
              <w:bottom w:val="single" w:sz="4" w:space="0" w:color="auto"/>
              <w:right w:val="single" w:sz="4" w:space="0" w:color="FFFFFF"/>
            </w:tcBorders>
            <w:shd w:val="clear" w:color="000000" w:fill="1F497D"/>
            <w:noWrap/>
            <w:vAlign w:val="center"/>
            <w:hideMark/>
          </w:tcPr>
          <w:p w:rsidR="00701E06" w:rsidRPr="00612923" w:rsidRDefault="00701E06" w:rsidP="00254844">
            <w:pPr>
              <w:pStyle w:val="TableHeader"/>
              <w:keepNext/>
            </w:pPr>
            <w:r w:rsidRPr="00612923">
              <w:t>SMR-Only</w:t>
            </w:r>
          </w:p>
        </w:tc>
        <w:tc>
          <w:tcPr>
            <w:tcW w:w="1115" w:type="dxa"/>
            <w:tcBorders>
              <w:top w:val="nil"/>
              <w:left w:val="nil"/>
              <w:bottom w:val="single" w:sz="4" w:space="0" w:color="auto"/>
              <w:right w:val="single" w:sz="4" w:space="0" w:color="FFFFFF"/>
            </w:tcBorders>
            <w:shd w:val="clear" w:color="000000" w:fill="1F497D"/>
            <w:noWrap/>
            <w:vAlign w:val="center"/>
            <w:hideMark/>
          </w:tcPr>
          <w:p w:rsidR="00701E06" w:rsidRPr="00612923" w:rsidRDefault="00701E06" w:rsidP="00254844">
            <w:pPr>
              <w:pStyle w:val="TableHeader"/>
              <w:keepNext/>
            </w:pPr>
            <w:r w:rsidRPr="00612923">
              <w:t>Dually Enrolled</w:t>
            </w:r>
          </w:p>
        </w:tc>
        <w:tc>
          <w:tcPr>
            <w:tcW w:w="1047" w:type="dxa"/>
            <w:tcBorders>
              <w:top w:val="nil"/>
              <w:left w:val="nil"/>
              <w:bottom w:val="single" w:sz="4" w:space="0" w:color="auto"/>
              <w:right w:val="single" w:sz="4" w:space="0" w:color="FFFFFF"/>
            </w:tcBorders>
            <w:shd w:val="clear" w:color="000000" w:fill="1F497D"/>
            <w:noWrap/>
            <w:vAlign w:val="center"/>
            <w:hideMark/>
          </w:tcPr>
          <w:p w:rsidR="00701E06" w:rsidRPr="00612923" w:rsidRDefault="00701E06" w:rsidP="00254844">
            <w:pPr>
              <w:pStyle w:val="TableHeader"/>
              <w:keepNext/>
            </w:pPr>
            <w:r w:rsidRPr="00612923">
              <w:t>SMR-Only</w:t>
            </w:r>
          </w:p>
        </w:tc>
        <w:tc>
          <w:tcPr>
            <w:tcW w:w="1028" w:type="dxa"/>
            <w:tcBorders>
              <w:top w:val="nil"/>
              <w:left w:val="nil"/>
              <w:bottom w:val="single" w:sz="4" w:space="0" w:color="auto"/>
              <w:right w:val="single" w:sz="4" w:space="0" w:color="auto"/>
            </w:tcBorders>
            <w:shd w:val="clear" w:color="000000" w:fill="1F497D"/>
            <w:noWrap/>
            <w:vAlign w:val="center"/>
            <w:hideMark/>
          </w:tcPr>
          <w:p w:rsidR="00701E06" w:rsidRPr="00612923" w:rsidRDefault="00701E06" w:rsidP="00254844">
            <w:pPr>
              <w:pStyle w:val="TableHeader"/>
              <w:keepNext/>
            </w:pPr>
            <w:r w:rsidRPr="00612923">
              <w:t>Dually Enrolled</w:t>
            </w:r>
          </w:p>
        </w:tc>
      </w:tr>
      <w:tr w:rsidR="00701E06" w:rsidRPr="00612923" w:rsidTr="00701E06">
        <w:trPr>
          <w:trHeight w:val="300"/>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Greater Bay Area</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2.2%</w:t>
            </w:r>
          </w:p>
        </w:tc>
        <w:tc>
          <w:tcPr>
            <w:tcW w:w="113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-0.7%</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w:t>
            </w:r>
          </w:p>
        </w:tc>
        <w:tc>
          <w:tcPr>
            <w:tcW w:w="111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-0.6%</w:t>
            </w:r>
          </w:p>
        </w:tc>
        <w:tc>
          <w:tcPr>
            <w:tcW w:w="104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0.8%</w:t>
            </w:r>
          </w:p>
        </w:tc>
        <w:tc>
          <w:tcPr>
            <w:tcW w:w="1028"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-0.8%</w:t>
            </w:r>
          </w:p>
        </w:tc>
      </w:tr>
      <w:tr w:rsidR="00701E06" w:rsidRPr="00612923" w:rsidTr="00701E06">
        <w:trPr>
          <w:trHeight w:val="300"/>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Greater Fresno</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-1.4%</w:t>
            </w:r>
          </w:p>
        </w:tc>
        <w:tc>
          <w:tcPr>
            <w:tcW w:w="113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-2.2%</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-0.1%</w:t>
            </w:r>
          </w:p>
        </w:tc>
        <w:tc>
          <w:tcPr>
            <w:tcW w:w="111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-2.4%</w:t>
            </w:r>
          </w:p>
        </w:tc>
        <w:tc>
          <w:tcPr>
            <w:tcW w:w="104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-1.1%</w:t>
            </w:r>
          </w:p>
        </w:tc>
        <w:tc>
          <w:tcPr>
            <w:tcW w:w="1028"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-4.8%</w:t>
            </w:r>
          </w:p>
        </w:tc>
      </w:tr>
      <w:tr w:rsidR="00701E06" w:rsidRPr="00612923" w:rsidTr="00701E06">
        <w:trPr>
          <w:trHeight w:val="300"/>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Kern</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w:t>
            </w:r>
          </w:p>
        </w:tc>
        <w:tc>
          <w:tcPr>
            <w:tcW w:w="113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-1.4%</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-1.2%</w:t>
            </w:r>
          </w:p>
        </w:tc>
        <w:tc>
          <w:tcPr>
            <w:tcW w:w="111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-4.7%</w:t>
            </w:r>
          </w:p>
        </w:tc>
        <w:tc>
          <w:tcPr>
            <w:tcW w:w="104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-1.1%</w:t>
            </w:r>
          </w:p>
        </w:tc>
        <w:tc>
          <w:tcPr>
            <w:tcW w:w="1028"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-2.1%</w:t>
            </w:r>
          </w:p>
        </w:tc>
      </w:tr>
      <w:tr w:rsidR="00701E06" w:rsidRPr="00612923" w:rsidTr="00701E06">
        <w:trPr>
          <w:trHeight w:val="300"/>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Northern Coast</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3.0%</w:t>
            </w:r>
          </w:p>
        </w:tc>
        <w:tc>
          <w:tcPr>
            <w:tcW w:w="113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-0.1%</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w:t>
            </w:r>
          </w:p>
        </w:tc>
        <w:tc>
          <w:tcPr>
            <w:tcW w:w="111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-0.8%</w:t>
            </w:r>
          </w:p>
        </w:tc>
        <w:tc>
          <w:tcPr>
            <w:tcW w:w="104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1.6%</w:t>
            </w:r>
          </w:p>
        </w:tc>
        <w:tc>
          <w:tcPr>
            <w:tcW w:w="1028"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-5.7%</w:t>
            </w:r>
          </w:p>
        </w:tc>
      </w:tr>
      <w:tr w:rsidR="00701E06" w:rsidRPr="00612923" w:rsidTr="00701E06">
        <w:trPr>
          <w:trHeight w:val="300"/>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Other</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0.6%</w:t>
            </w:r>
          </w:p>
        </w:tc>
        <w:tc>
          <w:tcPr>
            <w:tcW w:w="113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-3.1%</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-2.6%</w:t>
            </w:r>
          </w:p>
        </w:tc>
        <w:tc>
          <w:tcPr>
            <w:tcW w:w="111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-4.8%</w:t>
            </w:r>
          </w:p>
        </w:tc>
        <w:tc>
          <w:tcPr>
            <w:tcW w:w="104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-1.9%</w:t>
            </w:r>
          </w:p>
        </w:tc>
        <w:tc>
          <w:tcPr>
            <w:tcW w:w="1028"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-2.6%</w:t>
            </w:r>
          </w:p>
        </w:tc>
      </w:tr>
      <w:tr w:rsidR="00701E06" w:rsidRPr="00612923" w:rsidTr="00701E06">
        <w:trPr>
          <w:trHeight w:val="300"/>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Sierra</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2.7%</w:t>
            </w:r>
          </w:p>
        </w:tc>
        <w:tc>
          <w:tcPr>
            <w:tcW w:w="113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1.2%</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1.0%</w:t>
            </w:r>
          </w:p>
        </w:tc>
        <w:tc>
          <w:tcPr>
            <w:tcW w:w="111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0.5%</w:t>
            </w:r>
          </w:p>
        </w:tc>
        <w:tc>
          <w:tcPr>
            <w:tcW w:w="104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-0.1%</w:t>
            </w:r>
          </w:p>
        </w:tc>
        <w:tc>
          <w:tcPr>
            <w:tcW w:w="1028"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1.2%</w:t>
            </w:r>
          </w:p>
        </w:tc>
      </w:tr>
      <w:tr w:rsidR="00701E06" w:rsidRPr="00612923" w:rsidTr="00701E06">
        <w:trPr>
          <w:trHeight w:val="300"/>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Stockton</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0.2%</w:t>
            </w:r>
          </w:p>
        </w:tc>
        <w:tc>
          <w:tcPr>
            <w:tcW w:w="113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-0.7%</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1.7%</w:t>
            </w:r>
          </w:p>
        </w:tc>
        <w:tc>
          <w:tcPr>
            <w:tcW w:w="111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w:t>
            </w:r>
          </w:p>
        </w:tc>
        <w:tc>
          <w:tcPr>
            <w:tcW w:w="104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0.7%</w:t>
            </w:r>
          </w:p>
        </w:tc>
        <w:tc>
          <w:tcPr>
            <w:tcW w:w="1028"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-1.9%</w:t>
            </w:r>
          </w:p>
        </w:tc>
      </w:tr>
      <w:tr w:rsidR="00701E06" w:rsidRPr="00612923" w:rsidTr="00701E06">
        <w:trPr>
          <w:trHeight w:val="300"/>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Non-CARE</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-2.9%</w:t>
            </w:r>
          </w:p>
        </w:tc>
        <w:tc>
          <w:tcPr>
            <w:tcW w:w="113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-4.5%</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-5.3%</w:t>
            </w:r>
          </w:p>
        </w:tc>
        <w:tc>
          <w:tcPr>
            <w:tcW w:w="111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-5.2%</w:t>
            </w:r>
          </w:p>
        </w:tc>
        <w:tc>
          <w:tcPr>
            <w:tcW w:w="104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-4.5%</w:t>
            </w:r>
          </w:p>
        </w:tc>
        <w:tc>
          <w:tcPr>
            <w:tcW w:w="1028"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-4.4%</w:t>
            </w:r>
          </w:p>
        </w:tc>
      </w:tr>
      <w:tr w:rsidR="00701E06" w:rsidRPr="00612923" w:rsidTr="00701E06">
        <w:trPr>
          <w:trHeight w:val="300"/>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CARE</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2.8%</w:t>
            </w:r>
          </w:p>
        </w:tc>
        <w:tc>
          <w:tcPr>
            <w:tcW w:w="113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19.3%</w:t>
            </w:r>
          </w:p>
        </w:tc>
        <w:tc>
          <w:tcPr>
            <w:tcW w:w="113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6.3%</w:t>
            </w:r>
          </w:p>
        </w:tc>
        <w:tc>
          <w:tcPr>
            <w:tcW w:w="1115"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21.0%</w:t>
            </w:r>
          </w:p>
        </w:tc>
        <w:tc>
          <w:tcPr>
            <w:tcW w:w="1047"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3.8%</w:t>
            </w:r>
          </w:p>
        </w:tc>
        <w:tc>
          <w:tcPr>
            <w:tcW w:w="1028"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701E06">
            <w:pPr>
              <w:pStyle w:val="TableText"/>
            </w:pPr>
            <w:r w:rsidRPr="00612923">
              <w:t>20.5%</w:t>
            </w:r>
          </w:p>
        </w:tc>
      </w:tr>
    </w:tbl>
    <w:p w:rsidR="00701E06" w:rsidRPr="00612923" w:rsidRDefault="00701E06" w:rsidP="00701E06">
      <w:pPr>
        <w:pStyle w:val="Heading2"/>
        <w:spacing w:before="360"/>
      </w:pPr>
      <w:bookmarkStart w:id="27" w:name="_Toc349193881"/>
      <w:bookmarkStart w:id="28" w:name="_Toc352567296"/>
      <w:r w:rsidRPr="00612923">
        <w:t>Individual C</w:t>
      </w:r>
      <w:r w:rsidRPr="00612923">
        <w:rPr>
          <w:rFonts w:hint="eastAsia"/>
        </w:rPr>
        <w:t>ustomer</w:t>
      </w:r>
      <w:r w:rsidRPr="00612923">
        <w:t xml:space="preserve"> Regression Methodology</w:t>
      </w:r>
      <w:bookmarkEnd w:id="27"/>
      <w:bookmarkEnd w:id="28"/>
    </w:p>
    <w:p w:rsidR="00701E06" w:rsidRPr="00612923" w:rsidRDefault="00701E06" w:rsidP="00701E06">
      <w:pPr>
        <w:pStyle w:val="BodyParagraph"/>
      </w:pPr>
      <w:r w:rsidRPr="00612923">
        <w:t>Having used the matched control group to estimate overall event impacts, the individual regressions were used to create impact estimates on a per-customer basis, which allows for relatively simple analyses of different segments of customers without repeatedly matching new control groups for each segment.  A sample of SmartRate customers who have been part of the program since May 1, 2012 was used.  This sample was used because these customers experienced all of the events in 2012.  This means that this sample is not fully representative of the SmartRate population.  This is acceptable because the results from this analysis are only used for comparing relative event impacts across different customer segments, rather than for producing impact estimates for the whole program.</w:t>
      </w:r>
    </w:p>
    <w:p w:rsidR="00701E06" w:rsidRPr="00612923" w:rsidRDefault="00701E06" w:rsidP="002E27BD">
      <w:pPr>
        <w:pStyle w:val="BodyBeforeBullet"/>
      </w:pPr>
      <w:r w:rsidRPr="00612923">
        <w:t>After testing a number of regressions on this sample of SmartRate customers, the final model was chosen.  This model was selected because it gave the best predictions in a cross-validation test (also called an out-of-sample test) of all specifications tested.  Event effects were modeled as the difference between predicted reference load and actual load for each customer for each hour of each event day.  The equation is as follows:</w:t>
      </w:r>
    </w:p>
    <w:p w:rsidR="00701E06" w:rsidRPr="00612923" w:rsidRDefault="00701E06" w:rsidP="00701E06">
      <w:pPr>
        <w:pStyle w:val="TableFigureCaption"/>
      </w:pPr>
      <w:r w:rsidRPr="00612923">
        <w:t xml:space="preserve">Equation 3-1: Model </w:t>
      </w:r>
      <w:r w:rsidR="00A53895" w:rsidRPr="00612923">
        <w:t>S</w:t>
      </w:r>
      <w:r w:rsidRPr="00612923">
        <w:t>pecification for Individual Customer Regressions</w:t>
      </w:r>
    </w:p>
    <w:p w:rsidR="00701E06" w:rsidRPr="00612923" w:rsidRDefault="00701E06" w:rsidP="00701E06">
      <w:pPr>
        <w:pStyle w:val="BodyParagraph"/>
        <w:jc w:val="center"/>
      </w:pPr>
      <w:r w:rsidRPr="00612923">
        <w:rPr>
          <w:rFonts w:cs="Arial"/>
          <w:i/>
          <w:position w:val="-64"/>
          <w:sz w:val="22"/>
        </w:rPr>
        <w:object w:dxaOrig="7160" w:dyaOrig="1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46.4pt;height:68.6pt" o:ole="">
            <v:imagedata r:id="rId26" o:title=""/>
          </v:shape>
          <o:OLEObject Type="Embed" ProgID="Equation.3" ShapeID="_x0000_i1028" DrawAspect="Content" ObjectID="_1426309125" r:id="rId27"/>
        </w:object>
      </w:r>
    </w:p>
    <w:p w:rsidR="00701E06" w:rsidRPr="00612923" w:rsidRDefault="00701E06" w:rsidP="00701E06">
      <w:pPr>
        <w:pStyle w:val="TableFigureCaption"/>
      </w:pPr>
      <w:r w:rsidRPr="00612923">
        <w:lastRenderedPageBreak/>
        <w:t>Table 3-3: Description of Energy Use Regression Variables</w:t>
      </w:r>
    </w:p>
    <w:tbl>
      <w:tblPr>
        <w:tblW w:w="3675" w:type="pct"/>
        <w:jc w:val="center"/>
        <w:tblLayout w:type="fixed"/>
        <w:tblLook w:val="00A0"/>
      </w:tblPr>
      <w:tblGrid>
        <w:gridCol w:w="2358"/>
        <w:gridCol w:w="4680"/>
      </w:tblGrid>
      <w:tr w:rsidR="00701E06" w:rsidRPr="00612923" w:rsidTr="00A53895">
        <w:trPr>
          <w:trHeight w:val="300"/>
          <w:tblHeader/>
          <w:jc w:val="center"/>
        </w:trPr>
        <w:tc>
          <w:tcPr>
            <w:tcW w:w="1675" w:type="pct"/>
            <w:tcBorders>
              <w:top w:val="single" w:sz="4" w:space="0" w:color="auto"/>
              <w:left w:val="single" w:sz="4" w:space="0" w:color="auto"/>
              <w:bottom w:val="nil"/>
              <w:right w:val="single" w:sz="4" w:space="0" w:color="FFFFFF"/>
            </w:tcBorders>
            <w:shd w:val="clear" w:color="auto" w:fill="1F497D"/>
            <w:vAlign w:val="center"/>
          </w:tcPr>
          <w:p w:rsidR="00701E06" w:rsidRPr="00612923" w:rsidRDefault="00701E06" w:rsidP="00701E06">
            <w:pPr>
              <w:pStyle w:val="TableHeader"/>
              <w:keepNext/>
            </w:pPr>
            <w:r w:rsidRPr="00612923">
              <w:t>Variable</w:t>
            </w:r>
          </w:p>
        </w:tc>
        <w:tc>
          <w:tcPr>
            <w:tcW w:w="3325" w:type="pct"/>
            <w:tcBorders>
              <w:top w:val="single" w:sz="4" w:space="0" w:color="auto"/>
              <w:left w:val="nil"/>
              <w:bottom w:val="nil"/>
              <w:right w:val="single" w:sz="4" w:space="0" w:color="auto"/>
            </w:tcBorders>
            <w:shd w:val="clear" w:color="auto" w:fill="1F497D"/>
            <w:vAlign w:val="center"/>
          </w:tcPr>
          <w:p w:rsidR="00701E06" w:rsidRPr="00612923" w:rsidRDefault="00701E06" w:rsidP="00701E06">
            <w:pPr>
              <w:pStyle w:val="TableHeader"/>
              <w:keepNext/>
            </w:pPr>
            <w:r w:rsidRPr="00612923">
              <w:t>Description</w:t>
            </w:r>
          </w:p>
        </w:tc>
      </w:tr>
      <w:tr w:rsidR="00701E06" w:rsidRPr="00612923" w:rsidTr="00A53895">
        <w:trPr>
          <w:trHeight w:val="285"/>
          <w:jc w:val="center"/>
        </w:trPr>
        <w:tc>
          <w:tcPr>
            <w:tcW w:w="1675" w:type="pct"/>
            <w:tcBorders>
              <w:top w:val="single" w:sz="4" w:space="0" w:color="auto"/>
              <w:left w:val="single" w:sz="4" w:space="0" w:color="auto"/>
              <w:bottom w:val="single" w:sz="4" w:space="0" w:color="auto"/>
              <w:right w:val="single" w:sz="4" w:space="0" w:color="auto"/>
            </w:tcBorders>
            <w:shd w:val="clear" w:color="auto" w:fill="FFFFFF"/>
            <w:noWrap/>
            <w:vAlign w:val="center"/>
          </w:tcPr>
          <w:p w:rsidR="00701E06" w:rsidRPr="00612923" w:rsidRDefault="00701E06" w:rsidP="00701E06">
            <w:pPr>
              <w:pStyle w:val="TableText"/>
              <w:keepNext/>
              <w:rPr>
                <w:i/>
                <w:iCs/>
                <w:color w:val="000000"/>
              </w:rPr>
            </w:pPr>
            <w:r w:rsidRPr="00612923">
              <w:t>a</w:t>
            </w:r>
          </w:p>
        </w:tc>
        <w:tc>
          <w:tcPr>
            <w:tcW w:w="3325" w:type="pct"/>
            <w:tcBorders>
              <w:top w:val="single" w:sz="4" w:space="0" w:color="auto"/>
              <w:left w:val="nil"/>
              <w:bottom w:val="single" w:sz="4" w:space="0" w:color="auto"/>
              <w:right w:val="single" w:sz="4" w:space="0" w:color="auto"/>
            </w:tcBorders>
            <w:shd w:val="clear" w:color="auto" w:fill="FFFFFF"/>
            <w:noWrap/>
            <w:vAlign w:val="center"/>
          </w:tcPr>
          <w:p w:rsidR="0085403D" w:rsidRPr="00612923" w:rsidRDefault="00701E06">
            <w:pPr>
              <w:pStyle w:val="TableText"/>
              <w:keepNext/>
              <w:jc w:val="left"/>
              <w:rPr>
                <w:color w:val="000000"/>
              </w:rPr>
            </w:pPr>
            <w:r w:rsidRPr="00612923">
              <w:rPr>
                <w:color w:val="000000"/>
              </w:rPr>
              <w:t>a is an estimated constant</w:t>
            </w:r>
          </w:p>
        </w:tc>
      </w:tr>
      <w:tr w:rsidR="00701E06" w:rsidRPr="00612923" w:rsidTr="00A53895">
        <w:trPr>
          <w:trHeight w:val="285"/>
          <w:jc w:val="center"/>
        </w:trPr>
        <w:tc>
          <w:tcPr>
            <w:tcW w:w="1675" w:type="pct"/>
            <w:tcBorders>
              <w:top w:val="nil"/>
              <w:left w:val="single" w:sz="4" w:space="0" w:color="auto"/>
              <w:bottom w:val="single" w:sz="4" w:space="0" w:color="auto"/>
              <w:right w:val="single" w:sz="4" w:space="0" w:color="auto"/>
            </w:tcBorders>
            <w:shd w:val="clear" w:color="auto" w:fill="FFFFFF"/>
            <w:noWrap/>
            <w:vAlign w:val="center"/>
          </w:tcPr>
          <w:p w:rsidR="00701E06" w:rsidRPr="00612923" w:rsidRDefault="00701E06" w:rsidP="00701E06">
            <w:pPr>
              <w:pStyle w:val="TableText"/>
              <w:keepNext/>
              <w:rPr>
                <w:i/>
                <w:iCs/>
                <w:color w:val="000000"/>
              </w:rPr>
            </w:pPr>
            <w:r w:rsidRPr="00612923">
              <w:rPr>
                <w:position w:val="-10"/>
              </w:rPr>
              <w:t>b-e</w:t>
            </w:r>
          </w:p>
        </w:tc>
        <w:tc>
          <w:tcPr>
            <w:tcW w:w="3325" w:type="pct"/>
            <w:tcBorders>
              <w:top w:val="nil"/>
              <w:left w:val="nil"/>
              <w:bottom w:val="single" w:sz="4" w:space="0" w:color="auto"/>
              <w:right w:val="single" w:sz="4" w:space="0" w:color="auto"/>
            </w:tcBorders>
            <w:shd w:val="clear" w:color="auto" w:fill="FFFFFF"/>
            <w:noWrap/>
            <w:vAlign w:val="center"/>
          </w:tcPr>
          <w:p w:rsidR="0085403D" w:rsidRPr="00612923" w:rsidRDefault="00701E06">
            <w:pPr>
              <w:pStyle w:val="TableText"/>
              <w:keepNext/>
              <w:jc w:val="left"/>
              <w:rPr>
                <w:color w:val="000000"/>
              </w:rPr>
            </w:pPr>
            <w:r w:rsidRPr="00612923">
              <w:rPr>
                <w:color w:val="000000"/>
              </w:rPr>
              <w:t>b-e are estimated parameters</w:t>
            </w:r>
          </w:p>
        </w:tc>
      </w:tr>
      <w:tr w:rsidR="00701E06" w:rsidRPr="00612923" w:rsidTr="00A53895">
        <w:trPr>
          <w:trHeight w:val="285"/>
          <w:jc w:val="center"/>
        </w:trPr>
        <w:tc>
          <w:tcPr>
            <w:tcW w:w="1675" w:type="pct"/>
            <w:tcBorders>
              <w:top w:val="nil"/>
              <w:left w:val="single" w:sz="4" w:space="0" w:color="auto"/>
              <w:bottom w:val="single" w:sz="4" w:space="0" w:color="auto"/>
              <w:right w:val="single" w:sz="4" w:space="0" w:color="auto"/>
            </w:tcBorders>
            <w:shd w:val="clear" w:color="auto" w:fill="auto"/>
            <w:noWrap/>
            <w:vAlign w:val="center"/>
          </w:tcPr>
          <w:p w:rsidR="00701E06" w:rsidRPr="00612923" w:rsidRDefault="00701E06" w:rsidP="00701E06">
            <w:pPr>
              <w:pStyle w:val="TableText"/>
              <w:keepNext/>
              <w:rPr>
                <w:i/>
                <w:iCs/>
                <w:color w:val="000000"/>
              </w:rPr>
            </w:pPr>
            <w:r w:rsidRPr="00612923">
              <w:t>mean17</w:t>
            </w:r>
          </w:p>
        </w:tc>
        <w:tc>
          <w:tcPr>
            <w:tcW w:w="3325" w:type="pct"/>
            <w:tcBorders>
              <w:top w:val="nil"/>
              <w:left w:val="nil"/>
              <w:bottom w:val="single" w:sz="4" w:space="0" w:color="auto"/>
              <w:right w:val="single" w:sz="4" w:space="0" w:color="auto"/>
            </w:tcBorders>
            <w:shd w:val="clear" w:color="auto" w:fill="auto"/>
            <w:noWrap/>
            <w:vAlign w:val="center"/>
          </w:tcPr>
          <w:p w:rsidR="0085403D" w:rsidRPr="00612923" w:rsidRDefault="00701E06">
            <w:pPr>
              <w:pStyle w:val="TableText"/>
              <w:keepNext/>
              <w:jc w:val="left"/>
              <w:rPr>
                <w:color w:val="000000"/>
              </w:rPr>
            </w:pPr>
            <w:r w:rsidRPr="00612923">
              <w:rPr>
                <w:color w:val="000000"/>
              </w:rPr>
              <w:t>The mean temperature from midnight until 5 PM</w:t>
            </w:r>
          </w:p>
        </w:tc>
      </w:tr>
      <w:tr w:rsidR="00701E06" w:rsidRPr="00612923" w:rsidTr="00A53895">
        <w:trPr>
          <w:trHeight w:val="285"/>
          <w:jc w:val="center"/>
        </w:trPr>
        <w:tc>
          <w:tcPr>
            <w:tcW w:w="1675" w:type="pct"/>
            <w:tcBorders>
              <w:top w:val="nil"/>
              <w:left w:val="single" w:sz="4" w:space="0" w:color="auto"/>
              <w:bottom w:val="single" w:sz="4" w:space="0" w:color="auto"/>
              <w:right w:val="single" w:sz="4" w:space="0" w:color="auto"/>
            </w:tcBorders>
            <w:shd w:val="clear" w:color="auto" w:fill="auto"/>
            <w:noWrap/>
            <w:vAlign w:val="center"/>
          </w:tcPr>
          <w:p w:rsidR="00701E06" w:rsidRPr="00612923" w:rsidRDefault="00701E06" w:rsidP="00701E06">
            <w:pPr>
              <w:pStyle w:val="TableText"/>
              <w:keepNext/>
              <w:rPr>
                <w:i/>
                <w:iCs/>
                <w:color w:val="000000"/>
              </w:rPr>
            </w:pPr>
            <w:proofErr w:type="spellStart"/>
            <w:r w:rsidRPr="00612923">
              <w:t>eventday</w:t>
            </w:r>
            <w:proofErr w:type="spellEnd"/>
          </w:p>
        </w:tc>
        <w:tc>
          <w:tcPr>
            <w:tcW w:w="3325" w:type="pct"/>
            <w:tcBorders>
              <w:top w:val="nil"/>
              <w:left w:val="nil"/>
              <w:bottom w:val="single" w:sz="4" w:space="0" w:color="auto"/>
              <w:right w:val="single" w:sz="4" w:space="0" w:color="auto"/>
            </w:tcBorders>
            <w:shd w:val="clear" w:color="auto" w:fill="auto"/>
            <w:noWrap/>
            <w:vAlign w:val="center"/>
          </w:tcPr>
          <w:p w:rsidR="0085403D" w:rsidRPr="00612923" w:rsidRDefault="00701E06">
            <w:pPr>
              <w:pStyle w:val="TableText"/>
              <w:keepNext/>
              <w:jc w:val="left"/>
              <w:rPr>
                <w:color w:val="000000"/>
              </w:rPr>
            </w:pPr>
            <w:r w:rsidRPr="00612923">
              <w:rPr>
                <w:color w:val="000000"/>
              </w:rPr>
              <w:t>Dummy variables for the event period of each event day</w:t>
            </w:r>
          </w:p>
        </w:tc>
      </w:tr>
      <w:tr w:rsidR="00701E06" w:rsidRPr="00612923" w:rsidTr="00A53895">
        <w:trPr>
          <w:trHeight w:val="285"/>
          <w:jc w:val="center"/>
        </w:trPr>
        <w:tc>
          <w:tcPr>
            <w:tcW w:w="1675" w:type="pct"/>
            <w:tcBorders>
              <w:top w:val="nil"/>
              <w:left w:val="single" w:sz="4" w:space="0" w:color="auto"/>
              <w:bottom w:val="single" w:sz="4" w:space="0" w:color="auto"/>
              <w:right w:val="single" w:sz="4" w:space="0" w:color="auto"/>
            </w:tcBorders>
            <w:shd w:val="clear" w:color="auto" w:fill="FFFFFF"/>
            <w:noWrap/>
            <w:vAlign w:val="center"/>
          </w:tcPr>
          <w:p w:rsidR="00701E06" w:rsidRPr="00612923" w:rsidRDefault="00701E06" w:rsidP="00701E06">
            <w:pPr>
              <w:pStyle w:val="TableText"/>
              <w:keepNext/>
            </w:pPr>
            <w:r w:rsidRPr="00612923">
              <w:object w:dxaOrig="200" w:dyaOrig="220">
                <v:shape id="_x0000_i1029" type="#_x0000_t75" style="width:11.55pt;height:11.55pt" o:ole="">
                  <v:imagedata r:id="rId28" o:title=""/>
                </v:shape>
                <o:OLEObject Type="Embed" ProgID="Equation.3" ShapeID="_x0000_i1029" DrawAspect="Content" ObjectID="_1426309126" r:id="rId29"/>
              </w:object>
            </w:r>
          </w:p>
        </w:tc>
        <w:tc>
          <w:tcPr>
            <w:tcW w:w="3325" w:type="pct"/>
            <w:tcBorders>
              <w:top w:val="nil"/>
              <w:left w:val="nil"/>
              <w:bottom w:val="single" w:sz="4" w:space="0" w:color="auto"/>
              <w:right w:val="single" w:sz="4" w:space="0" w:color="auto"/>
            </w:tcBorders>
            <w:shd w:val="clear" w:color="auto" w:fill="FFFFFF"/>
            <w:noWrap/>
            <w:vAlign w:val="center"/>
          </w:tcPr>
          <w:p w:rsidR="0085403D" w:rsidRPr="00612923" w:rsidRDefault="00701E06">
            <w:pPr>
              <w:pStyle w:val="TableText"/>
              <w:keepNext/>
              <w:jc w:val="left"/>
              <w:rPr>
                <w:rFonts w:eastAsia="Times New Roman" w:cs="Times New Roman"/>
                <w:b/>
                <w:color w:val="000000"/>
                <w:szCs w:val="28"/>
              </w:rPr>
            </w:pPr>
            <w:r w:rsidRPr="00612923">
              <w:rPr>
                <w:color w:val="000000"/>
              </w:rPr>
              <w:t>The error term</w:t>
            </w:r>
          </w:p>
        </w:tc>
      </w:tr>
    </w:tbl>
    <w:p w:rsidR="00701E06" w:rsidRPr="00612923" w:rsidRDefault="00701E06" w:rsidP="00701E06">
      <w:pPr>
        <w:pStyle w:val="BodyParaAfterTableFigure"/>
      </w:pPr>
      <w:r w:rsidRPr="00612923">
        <w:t xml:space="preserve">The model was validated using cross-validation testing on the sample of SmartRate customers.  Cross-validation refers to holding back data on event-like days from the model-fitting process in order to test model accuracy.  The process involves running the regressions without allowing the model to use one day out of the </w:t>
      </w:r>
      <w:r w:rsidR="00A53895" w:rsidRPr="00612923">
        <w:t xml:space="preserve">10 </w:t>
      </w:r>
      <w:r w:rsidRPr="00612923">
        <w:t xml:space="preserve">hottest non-event days.  The regression model is used to predict electricity use on these event-like days that were withheld, and then the model’s predictions are compared directly to actual electricity use observed on those days.  This process provides an indication of the overall level of accuracy of the model under relevant conditions. </w:t>
      </w:r>
    </w:p>
    <w:p w:rsidR="002E27BD" w:rsidRPr="00612923" w:rsidRDefault="00701E06" w:rsidP="002E27BD">
      <w:pPr>
        <w:pStyle w:val="BodyParagraph"/>
      </w:pPr>
      <w:r w:rsidRPr="00612923">
        <w:t xml:space="preserve">Table 3-4 shows predicted and actual usage during event hours on the </w:t>
      </w:r>
      <w:r w:rsidR="00A53895" w:rsidRPr="00612923">
        <w:t xml:space="preserve">10 </w:t>
      </w:r>
      <w:r w:rsidRPr="00612923">
        <w:t>out-of-sample days.  Because the individual regressions are only being used to predict impacts (as opposed to full event day load shapes), these are the only hours important to the analysis.  On average, predicted values are no different than actual usage on the out-of-sample days.  This difference on individual days is small and helps to validate the results of the regression model for the entire population.</w:t>
      </w:r>
    </w:p>
    <w:p w:rsidR="002E27BD" w:rsidRPr="00612923" w:rsidRDefault="002E27BD">
      <w:pPr>
        <w:rPr>
          <w:rFonts w:ascii="Verdana" w:hAnsi="Verdana"/>
          <w:sz w:val="18"/>
        </w:rPr>
      </w:pPr>
      <w:r w:rsidRPr="00612923">
        <w:br w:type="page"/>
      </w:r>
    </w:p>
    <w:p w:rsidR="00701E06" w:rsidRPr="00612923" w:rsidRDefault="00701E06" w:rsidP="00701E06">
      <w:pPr>
        <w:pStyle w:val="TableFigureCaption"/>
      </w:pPr>
      <w:r w:rsidRPr="00612923">
        <w:lastRenderedPageBreak/>
        <w:t xml:space="preserve">Table 3-4: Predicted Versus Actual Usage </w:t>
      </w:r>
      <w:proofErr w:type="gramStart"/>
      <w:r w:rsidR="00A53895" w:rsidRPr="00612923">
        <w:t>D</w:t>
      </w:r>
      <w:r w:rsidRPr="00612923">
        <w:t>uring</w:t>
      </w:r>
      <w:proofErr w:type="gramEnd"/>
      <w:r w:rsidRPr="00612923">
        <w:t xml:space="preserve"> Event Hours </w:t>
      </w:r>
      <w:r w:rsidRPr="00612923">
        <w:br/>
        <w:t>on Hot Non-event Days, SmartRate-only Customers</w:t>
      </w:r>
    </w:p>
    <w:tbl>
      <w:tblPr>
        <w:tblW w:w="8120" w:type="dxa"/>
        <w:jc w:val="center"/>
        <w:tblInd w:w="93" w:type="dxa"/>
        <w:tblLook w:val="04A0"/>
      </w:tblPr>
      <w:tblGrid>
        <w:gridCol w:w="2160"/>
        <w:gridCol w:w="1660"/>
        <w:gridCol w:w="1460"/>
        <w:gridCol w:w="1340"/>
        <w:gridCol w:w="1500"/>
      </w:tblGrid>
      <w:tr w:rsidR="00701E06" w:rsidRPr="00612923" w:rsidTr="00701E06">
        <w:trPr>
          <w:trHeight w:val="600"/>
          <w:jc w:val="center"/>
        </w:trPr>
        <w:tc>
          <w:tcPr>
            <w:tcW w:w="2160"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701E06" w:rsidRPr="00612923" w:rsidRDefault="00701E06" w:rsidP="00254844">
            <w:pPr>
              <w:pStyle w:val="TableHeader"/>
              <w:keepNext/>
            </w:pPr>
            <w:r w:rsidRPr="00612923">
              <w:t>Date</w:t>
            </w:r>
          </w:p>
        </w:tc>
        <w:tc>
          <w:tcPr>
            <w:tcW w:w="1660" w:type="dxa"/>
            <w:tcBorders>
              <w:top w:val="single" w:sz="4" w:space="0" w:color="auto"/>
              <w:left w:val="nil"/>
              <w:bottom w:val="single" w:sz="4" w:space="0" w:color="auto"/>
              <w:right w:val="single" w:sz="4" w:space="0" w:color="FFFFFF"/>
            </w:tcBorders>
            <w:shd w:val="clear" w:color="000000" w:fill="1F497D"/>
            <w:vAlign w:val="center"/>
            <w:hideMark/>
          </w:tcPr>
          <w:p w:rsidR="00701E06" w:rsidRPr="00612923" w:rsidRDefault="00701E06" w:rsidP="00254844">
            <w:pPr>
              <w:pStyle w:val="TableHeader"/>
              <w:keepNext/>
            </w:pPr>
            <w:r w:rsidRPr="00612923">
              <w:t>Observed Load (kW)</w:t>
            </w:r>
          </w:p>
        </w:tc>
        <w:tc>
          <w:tcPr>
            <w:tcW w:w="1460" w:type="dxa"/>
            <w:tcBorders>
              <w:top w:val="single" w:sz="4" w:space="0" w:color="auto"/>
              <w:left w:val="nil"/>
              <w:bottom w:val="single" w:sz="4" w:space="0" w:color="auto"/>
              <w:right w:val="single" w:sz="4" w:space="0" w:color="FFFFFF"/>
            </w:tcBorders>
            <w:shd w:val="clear" w:color="000000" w:fill="1F497D"/>
            <w:vAlign w:val="center"/>
            <w:hideMark/>
          </w:tcPr>
          <w:p w:rsidR="00701E06" w:rsidRPr="00612923" w:rsidRDefault="00701E06" w:rsidP="00254844">
            <w:pPr>
              <w:pStyle w:val="TableHeader"/>
              <w:keepNext/>
            </w:pPr>
            <w:r w:rsidRPr="00612923">
              <w:t>Predicted Load (kW)</w:t>
            </w:r>
          </w:p>
        </w:tc>
        <w:tc>
          <w:tcPr>
            <w:tcW w:w="1340" w:type="dxa"/>
            <w:tcBorders>
              <w:top w:val="single" w:sz="4" w:space="0" w:color="auto"/>
              <w:left w:val="nil"/>
              <w:bottom w:val="single" w:sz="4" w:space="0" w:color="auto"/>
              <w:right w:val="single" w:sz="4" w:space="0" w:color="FFFFFF"/>
            </w:tcBorders>
            <w:shd w:val="clear" w:color="000000" w:fill="1F497D"/>
            <w:vAlign w:val="center"/>
            <w:hideMark/>
          </w:tcPr>
          <w:p w:rsidR="00701E06" w:rsidRPr="00612923" w:rsidRDefault="00701E06" w:rsidP="00254844">
            <w:pPr>
              <w:pStyle w:val="TableHeader"/>
              <w:keepNext/>
            </w:pPr>
            <w:r w:rsidRPr="00612923">
              <w:t>Error (kW)</w:t>
            </w:r>
          </w:p>
        </w:tc>
        <w:tc>
          <w:tcPr>
            <w:tcW w:w="1500" w:type="dxa"/>
            <w:tcBorders>
              <w:top w:val="single" w:sz="4" w:space="0" w:color="auto"/>
              <w:left w:val="nil"/>
              <w:bottom w:val="single" w:sz="4" w:space="0" w:color="auto"/>
              <w:right w:val="single" w:sz="4" w:space="0" w:color="auto"/>
            </w:tcBorders>
            <w:shd w:val="clear" w:color="000000" w:fill="1F497D"/>
            <w:vAlign w:val="center"/>
            <w:hideMark/>
          </w:tcPr>
          <w:p w:rsidR="00701E06" w:rsidRPr="00612923" w:rsidRDefault="00701E06" w:rsidP="00254844">
            <w:pPr>
              <w:pStyle w:val="TableHeader"/>
              <w:keepNext/>
            </w:pPr>
            <w:r w:rsidRPr="00612923">
              <w:t>Percent Error (%)</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1-Jun-12</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1.68</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1.80</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-0.12</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-7%</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12-Jun-12</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1.60</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1.72</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-0.12</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-8%</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17-Jun-12</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2.13</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2.11</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0.02</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20-Jun-12</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1.59</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1.64</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-0.05</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22-Jul-12</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2.08</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1.95</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0.14</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7%</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31-Jul-12</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1.87</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1.86</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0.01</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1-Aug-12</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1.85</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1.85</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0.01</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8-Aug-12</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1.78</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1.75</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0.03</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9-Aug-12</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2.00</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1.92</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0.08</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4%</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30-Sep-12</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1.57</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1.55</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0.02</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54844">
            <w:pPr>
              <w:pStyle w:val="TableText"/>
              <w:keepNext/>
            </w:pPr>
            <w:r w:rsidRPr="00612923">
              <w:t>1%</w:t>
            </w:r>
          </w:p>
        </w:tc>
      </w:tr>
      <w:tr w:rsidR="00701E06" w:rsidRPr="00612923" w:rsidTr="00701E06">
        <w:trPr>
          <w:trHeight w:val="300"/>
          <w:jc w:val="center"/>
        </w:trPr>
        <w:tc>
          <w:tcPr>
            <w:tcW w:w="2160" w:type="dxa"/>
            <w:tcBorders>
              <w:top w:val="nil"/>
              <w:left w:val="single" w:sz="4" w:space="0" w:color="auto"/>
              <w:bottom w:val="single" w:sz="4" w:space="0" w:color="auto"/>
              <w:right w:val="single" w:sz="4" w:space="0" w:color="auto"/>
            </w:tcBorders>
            <w:shd w:val="clear" w:color="auto" w:fill="auto"/>
            <w:noWrap/>
            <w:vAlign w:val="center"/>
            <w:hideMark/>
          </w:tcPr>
          <w:p w:rsidR="00701E06" w:rsidRPr="00612923" w:rsidRDefault="00701E06" w:rsidP="002E27BD">
            <w:pPr>
              <w:pStyle w:val="TableText"/>
              <w:rPr>
                <w:b/>
                <w:bCs/>
              </w:rPr>
            </w:pPr>
            <w:r w:rsidRPr="00612923">
              <w:rPr>
                <w:b/>
                <w:bCs/>
              </w:rPr>
              <w:t>All Days</w:t>
            </w:r>
          </w:p>
        </w:tc>
        <w:tc>
          <w:tcPr>
            <w:tcW w:w="16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E27BD">
            <w:pPr>
              <w:pStyle w:val="TableText"/>
              <w:rPr>
                <w:b/>
                <w:bCs/>
              </w:rPr>
            </w:pPr>
            <w:r w:rsidRPr="00612923">
              <w:rPr>
                <w:b/>
                <w:bCs/>
              </w:rPr>
              <w:t>1.82</w:t>
            </w:r>
          </w:p>
        </w:tc>
        <w:tc>
          <w:tcPr>
            <w:tcW w:w="146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E27BD">
            <w:pPr>
              <w:pStyle w:val="TableText"/>
              <w:rPr>
                <w:b/>
                <w:bCs/>
              </w:rPr>
            </w:pPr>
            <w:r w:rsidRPr="00612923">
              <w:rPr>
                <w:b/>
                <w:bCs/>
              </w:rPr>
              <w:t>1.82</w:t>
            </w:r>
          </w:p>
        </w:tc>
        <w:tc>
          <w:tcPr>
            <w:tcW w:w="134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E27BD">
            <w:pPr>
              <w:pStyle w:val="TableText"/>
              <w:rPr>
                <w:b/>
                <w:bCs/>
              </w:rPr>
            </w:pPr>
            <w:r w:rsidRPr="00612923">
              <w:rPr>
                <w:b/>
                <w:bCs/>
              </w:rPr>
              <w:t>0.00</w:t>
            </w:r>
          </w:p>
        </w:tc>
        <w:tc>
          <w:tcPr>
            <w:tcW w:w="1500" w:type="dxa"/>
            <w:tcBorders>
              <w:top w:val="nil"/>
              <w:left w:val="nil"/>
              <w:bottom w:val="single" w:sz="4" w:space="0" w:color="auto"/>
              <w:right w:val="single" w:sz="4" w:space="0" w:color="auto"/>
            </w:tcBorders>
            <w:shd w:val="clear" w:color="auto" w:fill="auto"/>
            <w:noWrap/>
            <w:vAlign w:val="center"/>
            <w:hideMark/>
          </w:tcPr>
          <w:p w:rsidR="00701E06" w:rsidRPr="00612923" w:rsidRDefault="00701E06" w:rsidP="002E27BD">
            <w:pPr>
              <w:pStyle w:val="TableText"/>
              <w:rPr>
                <w:b/>
                <w:bCs/>
              </w:rPr>
            </w:pPr>
            <w:r w:rsidRPr="00612923">
              <w:rPr>
                <w:b/>
                <w:bCs/>
              </w:rPr>
              <w:t>0%</w:t>
            </w:r>
          </w:p>
        </w:tc>
      </w:tr>
    </w:tbl>
    <w:p w:rsidR="00474C71" w:rsidRPr="00612923" w:rsidRDefault="00701E06" w:rsidP="00701E06">
      <w:pPr>
        <w:pStyle w:val="BodyParaAfterTableFigure"/>
      </w:pPr>
      <w:r w:rsidRPr="00612923">
        <w:t>Event day impacts estimated using individual regressions for the SmartRate population that experienced all the events in 2012 were compared to load impact estimated using the matched control group method.  Table 3-5 shows the average impacts on each event day of the summer under both estimation methods.  The matched control method found an average impact of 0.20 kW, 14% of whole-house usage.  Using individual customer regressions, the average adjusted impact was 0.22 kW, or 11% of whole-house usage.  On individual event days, impacts calculated by the two methods differ more so than on average, which is to be expected.  Even apart from the different models used, we expect these estimates to differ because the matched control group estimates represent the full population at any given time, while the individual customer regression estimates represent only the sample that was enrolled as of May 2012.  The correlation between the absolute impacts from the matched control group and the absolute impacts from the individual customer regressions is 74%.</w:t>
      </w:r>
      <w:r w:rsidRPr="00612923">
        <w:rPr>
          <w:rStyle w:val="FootnoteReference"/>
        </w:rPr>
        <w:footnoteReference w:id="15"/>
      </w:r>
      <w:r w:rsidRPr="00612923">
        <w:t xml:space="preserve">  A</w:t>
      </w:r>
      <w:r w:rsidR="00474C71" w:rsidRPr="00612923">
        <w:t> </w:t>
      </w:r>
      <w:r w:rsidRPr="00612923">
        <w:t xml:space="preserve">correlation of 74% indicates that the two values tend to both be high on the same days and low on the same days, but the relationship is not perfect.  </w:t>
      </w:r>
    </w:p>
    <w:p w:rsidR="0085403D" w:rsidRPr="00612923" w:rsidRDefault="00474C71">
      <w:pPr>
        <w:pStyle w:val="BodyParagraph"/>
      </w:pPr>
      <w:r w:rsidRPr="00612923">
        <w:br w:type="page"/>
      </w:r>
    </w:p>
    <w:p w:rsidR="00701E06" w:rsidRPr="00612923" w:rsidRDefault="00701E06" w:rsidP="00701E06">
      <w:pPr>
        <w:pStyle w:val="TableFigureCaption"/>
      </w:pPr>
      <w:r w:rsidRPr="00612923">
        <w:lastRenderedPageBreak/>
        <w:t>Table 3-5: Ex Post Impact Comparison for Control Group Method and Individual Customer Regression Method, SmartRate-only Customers</w:t>
      </w:r>
    </w:p>
    <w:tbl>
      <w:tblPr>
        <w:tblW w:w="9312" w:type="dxa"/>
        <w:jc w:val="center"/>
        <w:tblInd w:w="93" w:type="dxa"/>
        <w:tblLayout w:type="fixed"/>
        <w:tblLook w:val="04A0"/>
      </w:tblPr>
      <w:tblGrid>
        <w:gridCol w:w="1635"/>
        <w:gridCol w:w="1350"/>
        <w:gridCol w:w="1260"/>
        <w:gridCol w:w="1240"/>
        <w:gridCol w:w="1216"/>
        <w:gridCol w:w="1194"/>
        <w:gridCol w:w="1417"/>
      </w:tblGrid>
      <w:tr w:rsidR="00701E06" w:rsidRPr="00612923" w:rsidTr="00701E06">
        <w:trPr>
          <w:trHeight w:val="315"/>
          <w:jc w:val="center"/>
        </w:trPr>
        <w:tc>
          <w:tcPr>
            <w:tcW w:w="1635" w:type="dxa"/>
            <w:vMerge w:val="restart"/>
            <w:tcBorders>
              <w:top w:val="single" w:sz="8" w:space="0" w:color="auto"/>
              <w:left w:val="single" w:sz="8" w:space="0" w:color="auto"/>
              <w:bottom w:val="nil"/>
              <w:right w:val="single" w:sz="8" w:space="0" w:color="FFFFFF"/>
            </w:tcBorders>
            <w:shd w:val="clear" w:color="000000" w:fill="1F497D"/>
            <w:vAlign w:val="center"/>
            <w:hideMark/>
          </w:tcPr>
          <w:p w:rsidR="00701E06" w:rsidRPr="00612923" w:rsidRDefault="00701E06" w:rsidP="00254844">
            <w:pPr>
              <w:pStyle w:val="TableHeader"/>
              <w:keepNext/>
            </w:pPr>
            <w:r w:rsidRPr="00612923">
              <w:t>Date</w:t>
            </w:r>
          </w:p>
        </w:tc>
        <w:tc>
          <w:tcPr>
            <w:tcW w:w="3850" w:type="dxa"/>
            <w:gridSpan w:val="3"/>
            <w:tcBorders>
              <w:top w:val="single" w:sz="8" w:space="0" w:color="auto"/>
              <w:left w:val="nil"/>
              <w:bottom w:val="single" w:sz="8" w:space="0" w:color="FFFFFF"/>
              <w:right w:val="single" w:sz="8" w:space="0" w:color="FFFFFF"/>
            </w:tcBorders>
            <w:shd w:val="clear" w:color="000000" w:fill="1F497D"/>
            <w:vAlign w:val="center"/>
            <w:hideMark/>
          </w:tcPr>
          <w:p w:rsidR="00701E06" w:rsidRPr="00612923" w:rsidRDefault="00701E06" w:rsidP="00254844">
            <w:pPr>
              <w:pStyle w:val="TableHeader"/>
              <w:keepNext/>
            </w:pPr>
            <w:r w:rsidRPr="00612923">
              <w:t>Matched Control Group</w:t>
            </w:r>
          </w:p>
        </w:tc>
        <w:tc>
          <w:tcPr>
            <w:tcW w:w="3827" w:type="dxa"/>
            <w:gridSpan w:val="3"/>
            <w:tcBorders>
              <w:top w:val="single" w:sz="8" w:space="0" w:color="auto"/>
              <w:left w:val="nil"/>
              <w:bottom w:val="single" w:sz="8" w:space="0" w:color="FFFFFF"/>
              <w:right w:val="single" w:sz="8" w:space="0" w:color="000000"/>
            </w:tcBorders>
            <w:shd w:val="clear" w:color="000000" w:fill="1F497D"/>
            <w:vAlign w:val="center"/>
            <w:hideMark/>
          </w:tcPr>
          <w:p w:rsidR="00701E06" w:rsidRPr="00612923" w:rsidRDefault="00701E06" w:rsidP="00254844">
            <w:pPr>
              <w:pStyle w:val="TableHeader"/>
              <w:keepNext/>
            </w:pPr>
            <w:r w:rsidRPr="00612923">
              <w:t>Individual Customer Regressions</w:t>
            </w:r>
          </w:p>
        </w:tc>
      </w:tr>
      <w:tr w:rsidR="002E27BD" w:rsidRPr="00612923" w:rsidTr="00FD127A">
        <w:trPr>
          <w:trHeight w:val="1085"/>
          <w:jc w:val="center"/>
        </w:trPr>
        <w:tc>
          <w:tcPr>
            <w:tcW w:w="1635" w:type="dxa"/>
            <w:vMerge/>
            <w:tcBorders>
              <w:top w:val="single" w:sz="8" w:space="0" w:color="auto"/>
              <w:left w:val="single" w:sz="8" w:space="0" w:color="auto"/>
              <w:bottom w:val="nil"/>
              <w:right w:val="single" w:sz="8" w:space="0" w:color="FFFFFF"/>
            </w:tcBorders>
            <w:vAlign w:val="center"/>
            <w:hideMark/>
          </w:tcPr>
          <w:p w:rsidR="002E27BD" w:rsidRPr="00612923" w:rsidRDefault="002E27BD" w:rsidP="00254844">
            <w:pPr>
              <w:pStyle w:val="TableHeader"/>
              <w:keepNext/>
            </w:pPr>
          </w:p>
        </w:tc>
        <w:tc>
          <w:tcPr>
            <w:tcW w:w="1350" w:type="dxa"/>
            <w:tcBorders>
              <w:top w:val="nil"/>
              <w:left w:val="nil"/>
              <w:right w:val="single" w:sz="8" w:space="0" w:color="FFFFFF"/>
            </w:tcBorders>
            <w:shd w:val="clear" w:color="000000" w:fill="1F497D"/>
            <w:vAlign w:val="center"/>
            <w:hideMark/>
          </w:tcPr>
          <w:p w:rsidR="002E27BD" w:rsidRPr="00612923" w:rsidRDefault="002E27BD" w:rsidP="00254844">
            <w:pPr>
              <w:pStyle w:val="TableHeader"/>
              <w:keepNext/>
            </w:pPr>
            <w:r w:rsidRPr="00612923">
              <w:t>Average Reference Load (kW)</w:t>
            </w:r>
          </w:p>
        </w:tc>
        <w:tc>
          <w:tcPr>
            <w:tcW w:w="1260" w:type="dxa"/>
            <w:tcBorders>
              <w:top w:val="nil"/>
              <w:left w:val="single" w:sz="8" w:space="0" w:color="FFFFFF"/>
              <w:bottom w:val="nil"/>
              <w:right w:val="single" w:sz="8" w:space="0" w:color="FFFFFF"/>
            </w:tcBorders>
            <w:shd w:val="clear" w:color="000000" w:fill="1F497D"/>
            <w:vAlign w:val="center"/>
            <w:hideMark/>
          </w:tcPr>
          <w:p w:rsidR="002E27BD" w:rsidRPr="00612923" w:rsidRDefault="002E27BD" w:rsidP="00254844">
            <w:pPr>
              <w:pStyle w:val="TableHeader"/>
              <w:keepNext/>
            </w:pPr>
            <w:r w:rsidRPr="00612923">
              <w:t>Average Load Reduction (kW)</w:t>
            </w:r>
          </w:p>
        </w:tc>
        <w:tc>
          <w:tcPr>
            <w:tcW w:w="1240" w:type="dxa"/>
            <w:tcBorders>
              <w:top w:val="nil"/>
              <w:left w:val="single" w:sz="8" w:space="0" w:color="FFFFFF"/>
              <w:bottom w:val="nil"/>
              <w:right w:val="single" w:sz="8" w:space="0" w:color="FFFFFF"/>
            </w:tcBorders>
            <w:shd w:val="clear" w:color="000000" w:fill="1F497D"/>
            <w:vAlign w:val="center"/>
            <w:hideMark/>
          </w:tcPr>
          <w:p w:rsidR="002E27BD" w:rsidRPr="00612923" w:rsidRDefault="002E27BD" w:rsidP="00254844">
            <w:pPr>
              <w:pStyle w:val="TableHeader"/>
              <w:keepNext/>
            </w:pPr>
            <w:r w:rsidRPr="00612923">
              <w:t>% Load Reduction</w:t>
            </w:r>
          </w:p>
        </w:tc>
        <w:tc>
          <w:tcPr>
            <w:tcW w:w="1216" w:type="dxa"/>
            <w:tcBorders>
              <w:top w:val="nil"/>
              <w:left w:val="nil"/>
              <w:right w:val="single" w:sz="8" w:space="0" w:color="FFFFFF"/>
            </w:tcBorders>
            <w:shd w:val="clear" w:color="000000" w:fill="1F497D"/>
            <w:vAlign w:val="center"/>
            <w:hideMark/>
          </w:tcPr>
          <w:p w:rsidR="002E27BD" w:rsidRPr="00612923" w:rsidRDefault="002E27BD" w:rsidP="00254844">
            <w:pPr>
              <w:pStyle w:val="TableHeader"/>
              <w:keepNext/>
            </w:pPr>
            <w:r w:rsidRPr="00612923">
              <w:t>Average Reference Load (kW)</w:t>
            </w:r>
          </w:p>
        </w:tc>
        <w:tc>
          <w:tcPr>
            <w:tcW w:w="1194" w:type="dxa"/>
            <w:tcBorders>
              <w:top w:val="nil"/>
              <w:left w:val="single" w:sz="8" w:space="0" w:color="FFFFFF"/>
              <w:bottom w:val="nil"/>
              <w:right w:val="single" w:sz="8" w:space="0" w:color="FFFFFF"/>
            </w:tcBorders>
            <w:shd w:val="clear" w:color="000000" w:fill="1F497D"/>
            <w:vAlign w:val="center"/>
            <w:hideMark/>
          </w:tcPr>
          <w:p w:rsidR="002E27BD" w:rsidRPr="00612923" w:rsidRDefault="002E27BD" w:rsidP="00254844">
            <w:pPr>
              <w:pStyle w:val="TableHeader"/>
              <w:keepNext/>
            </w:pPr>
            <w:r w:rsidRPr="00612923">
              <w:t>Average Load Reduction (kW)</w:t>
            </w:r>
          </w:p>
        </w:tc>
        <w:tc>
          <w:tcPr>
            <w:tcW w:w="1417" w:type="dxa"/>
            <w:tcBorders>
              <w:top w:val="nil"/>
              <w:left w:val="single" w:sz="8" w:space="0" w:color="FFFFFF"/>
              <w:bottom w:val="nil"/>
              <w:right w:val="single" w:sz="8" w:space="0" w:color="auto"/>
            </w:tcBorders>
            <w:shd w:val="clear" w:color="000000" w:fill="1F497D"/>
            <w:vAlign w:val="center"/>
            <w:hideMark/>
          </w:tcPr>
          <w:p w:rsidR="002E27BD" w:rsidRPr="00612923" w:rsidRDefault="002E27BD" w:rsidP="00254844">
            <w:pPr>
              <w:pStyle w:val="TableHeader"/>
              <w:keepNext/>
            </w:pPr>
            <w:r w:rsidRPr="00612923">
              <w:t>% Load Reduction</w:t>
            </w:r>
          </w:p>
        </w:tc>
      </w:tr>
      <w:tr w:rsidR="00701E06" w:rsidRPr="00612923" w:rsidTr="00701E06">
        <w:trPr>
          <w:trHeight w:val="300"/>
          <w:jc w:val="center"/>
        </w:trPr>
        <w:tc>
          <w:tcPr>
            <w:tcW w:w="163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9-Jul-12</w:t>
            </w:r>
          </w:p>
        </w:tc>
        <w:tc>
          <w:tcPr>
            <w:tcW w:w="1350"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1.58</w:t>
            </w:r>
          </w:p>
        </w:tc>
        <w:tc>
          <w:tcPr>
            <w:tcW w:w="1260"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0.26</w:t>
            </w:r>
          </w:p>
        </w:tc>
        <w:tc>
          <w:tcPr>
            <w:tcW w:w="1240"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w:t>
            </w:r>
          </w:p>
        </w:tc>
        <w:tc>
          <w:tcPr>
            <w:tcW w:w="1216"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1.64</w:t>
            </w:r>
          </w:p>
        </w:tc>
        <w:tc>
          <w:tcPr>
            <w:tcW w:w="1194"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0.16</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10%</w:t>
            </w:r>
          </w:p>
        </w:tc>
      </w:tr>
      <w:tr w:rsidR="00701E06" w:rsidRPr="00612923" w:rsidTr="00701E06">
        <w:trPr>
          <w:trHeight w:val="300"/>
          <w:jc w:val="center"/>
        </w:trPr>
        <w:tc>
          <w:tcPr>
            <w:tcW w:w="1635"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10-Jul-12</w:t>
            </w:r>
          </w:p>
        </w:tc>
        <w:tc>
          <w:tcPr>
            <w:tcW w:w="135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1.71</w:t>
            </w:r>
          </w:p>
        </w:tc>
        <w:tc>
          <w:tcPr>
            <w:tcW w:w="126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0.27</w:t>
            </w:r>
          </w:p>
        </w:tc>
        <w:tc>
          <w:tcPr>
            <w:tcW w:w="124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15%</w:t>
            </w:r>
          </w:p>
        </w:tc>
        <w:tc>
          <w:tcPr>
            <w:tcW w:w="1216"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1.78</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0.18</w:t>
            </w:r>
          </w:p>
        </w:tc>
        <w:tc>
          <w:tcPr>
            <w:tcW w:w="1417"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10%</w:t>
            </w:r>
          </w:p>
        </w:tc>
      </w:tr>
      <w:tr w:rsidR="00701E06" w:rsidRPr="00612923" w:rsidTr="00701E06">
        <w:trPr>
          <w:trHeight w:val="300"/>
          <w:jc w:val="center"/>
        </w:trPr>
        <w:tc>
          <w:tcPr>
            <w:tcW w:w="1635"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11-Jul-12</w:t>
            </w:r>
          </w:p>
        </w:tc>
        <w:tc>
          <w:tcPr>
            <w:tcW w:w="135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1.87</w:t>
            </w:r>
          </w:p>
        </w:tc>
        <w:tc>
          <w:tcPr>
            <w:tcW w:w="126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0.32</w:t>
            </w:r>
          </w:p>
        </w:tc>
        <w:tc>
          <w:tcPr>
            <w:tcW w:w="124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17%</w:t>
            </w:r>
          </w:p>
        </w:tc>
        <w:tc>
          <w:tcPr>
            <w:tcW w:w="1216"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1.98</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0.24</w:t>
            </w:r>
          </w:p>
        </w:tc>
        <w:tc>
          <w:tcPr>
            <w:tcW w:w="1417"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12%</w:t>
            </w:r>
          </w:p>
        </w:tc>
      </w:tr>
      <w:tr w:rsidR="00701E06" w:rsidRPr="00612923" w:rsidTr="00701E06">
        <w:trPr>
          <w:trHeight w:val="300"/>
          <w:jc w:val="center"/>
        </w:trPr>
        <w:tc>
          <w:tcPr>
            <w:tcW w:w="1635"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23-Jul-12</w:t>
            </w:r>
          </w:p>
        </w:tc>
        <w:tc>
          <w:tcPr>
            <w:tcW w:w="135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1.58</w:t>
            </w:r>
          </w:p>
        </w:tc>
        <w:tc>
          <w:tcPr>
            <w:tcW w:w="126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0.25</w:t>
            </w:r>
          </w:p>
        </w:tc>
        <w:tc>
          <w:tcPr>
            <w:tcW w:w="124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15%</w:t>
            </w:r>
          </w:p>
        </w:tc>
        <w:tc>
          <w:tcPr>
            <w:tcW w:w="1216"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1.84</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0.25</w:t>
            </w:r>
          </w:p>
        </w:tc>
        <w:tc>
          <w:tcPr>
            <w:tcW w:w="1417"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w:t>
            </w:r>
          </w:p>
        </w:tc>
      </w:tr>
      <w:tr w:rsidR="00701E06" w:rsidRPr="00612923" w:rsidTr="00701E06">
        <w:trPr>
          <w:trHeight w:val="300"/>
          <w:jc w:val="center"/>
        </w:trPr>
        <w:tc>
          <w:tcPr>
            <w:tcW w:w="1635"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4-Sep-12</w:t>
            </w:r>
          </w:p>
        </w:tc>
        <w:tc>
          <w:tcPr>
            <w:tcW w:w="135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1.32</w:t>
            </w:r>
          </w:p>
        </w:tc>
        <w:tc>
          <w:tcPr>
            <w:tcW w:w="126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0.18</w:t>
            </w:r>
          </w:p>
        </w:tc>
        <w:tc>
          <w:tcPr>
            <w:tcW w:w="124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w:t>
            </w:r>
          </w:p>
        </w:tc>
        <w:tc>
          <w:tcPr>
            <w:tcW w:w="1216"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1.66</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0.25</w:t>
            </w:r>
          </w:p>
        </w:tc>
        <w:tc>
          <w:tcPr>
            <w:tcW w:w="1417"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15%</w:t>
            </w:r>
          </w:p>
        </w:tc>
      </w:tr>
      <w:tr w:rsidR="00701E06" w:rsidRPr="00612923" w:rsidTr="00701E06">
        <w:trPr>
          <w:trHeight w:val="300"/>
          <w:jc w:val="center"/>
        </w:trPr>
        <w:tc>
          <w:tcPr>
            <w:tcW w:w="1635"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13-Sep-12</w:t>
            </w:r>
          </w:p>
        </w:tc>
        <w:tc>
          <w:tcPr>
            <w:tcW w:w="135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1.34</w:t>
            </w:r>
          </w:p>
        </w:tc>
        <w:tc>
          <w:tcPr>
            <w:tcW w:w="126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0.16</w:t>
            </w:r>
          </w:p>
        </w:tc>
        <w:tc>
          <w:tcPr>
            <w:tcW w:w="124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12%</w:t>
            </w:r>
          </w:p>
        </w:tc>
        <w:tc>
          <w:tcPr>
            <w:tcW w:w="1216"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1.65</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0.21</w:t>
            </w:r>
          </w:p>
        </w:tc>
        <w:tc>
          <w:tcPr>
            <w:tcW w:w="1417"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w:t>
            </w:r>
          </w:p>
        </w:tc>
      </w:tr>
      <w:tr w:rsidR="00701E06" w:rsidRPr="00612923" w:rsidTr="00701E06">
        <w:trPr>
          <w:trHeight w:val="300"/>
          <w:jc w:val="center"/>
        </w:trPr>
        <w:tc>
          <w:tcPr>
            <w:tcW w:w="1635"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14-Sep-12</w:t>
            </w:r>
          </w:p>
        </w:tc>
        <w:tc>
          <w:tcPr>
            <w:tcW w:w="135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1.36</w:t>
            </w:r>
          </w:p>
        </w:tc>
        <w:tc>
          <w:tcPr>
            <w:tcW w:w="126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0.15</w:t>
            </w:r>
          </w:p>
        </w:tc>
        <w:tc>
          <w:tcPr>
            <w:tcW w:w="124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11%</w:t>
            </w:r>
          </w:p>
        </w:tc>
        <w:tc>
          <w:tcPr>
            <w:tcW w:w="1216"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1.66</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0.15</w:t>
            </w:r>
          </w:p>
        </w:tc>
        <w:tc>
          <w:tcPr>
            <w:tcW w:w="1417"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9%</w:t>
            </w:r>
          </w:p>
        </w:tc>
      </w:tr>
      <w:tr w:rsidR="00701E06" w:rsidRPr="00612923" w:rsidTr="00701E06">
        <w:trPr>
          <w:trHeight w:val="300"/>
          <w:jc w:val="center"/>
        </w:trPr>
        <w:tc>
          <w:tcPr>
            <w:tcW w:w="1635"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1-Oct-12</w:t>
            </w:r>
          </w:p>
        </w:tc>
        <w:tc>
          <w:tcPr>
            <w:tcW w:w="135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1.36</w:t>
            </w:r>
          </w:p>
        </w:tc>
        <w:tc>
          <w:tcPr>
            <w:tcW w:w="126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0.22</w:t>
            </w:r>
          </w:p>
        </w:tc>
        <w:tc>
          <w:tcPr>
            <w:tcW w:w="124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w:t>
            </w:r>
          </w:p>
        </w:tc>
        <w:tc>
          <w:tcPr>
            <w:tcW w:w="1216"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1.60</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0.23</w:t>
            </w:r>
          </w:p>
        </w:tc>
        <w:tc>
          <w:tcPr>
            <w:tcW w:w="1417"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14%</w:t>
            </w:r>
          </w:p>
        </w:tc>
      </w:tr>
      <w:tr w:rsidR="00701E06" w:rsidRPr="00612923" w:rsidTr="00701E06">
        <w:trPr>
          <w:trHeight w:val="300"/>
          <w:jc w:val="center"/>
        </w:trPr>
        <w:tc>
          <w:tcPr>
            <w:tcW w:w="1635"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2-Oct-12</w:t>
            </w:r>
          </w:p>
        </w:tc>
        <w:tc>
          <w:tcPr>
            <w:tcW w:w="135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1.40</w:t>
            </w:r>
          </w:p>
        </w:tc>
        <w:tc>
          <w:tcPr>
            <w:tcW w:w="126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0.21</w:t>
            </w:r>
          </w:p>
        </w:tc>
        <w:tc>
          <w:tcPr>
            <w:tcW w:w="124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15%</w:t>
            </w:r>
          </w:p>
        </w:tc>
        <w:tc>
          <w:tcPr>
            <w:tcW w:w="1216"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1.65</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0.22</w:t>
            </w:r>
          </w:p>
        </w:tc>
        <w:tc>
          <w:tcPr>
            <w:tcW w:w="1417"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w:t>
            </w:r>
          </w:p>
        </w:tc>
      </w:tr>
      <w:tr w:rsidR="00701E06" w:rsidRPr="00612923" w:rsidTr="00701E06">
        <w:trPr>
          <w:trHeight w:val="300"/>
          <w:jc w:val="center"/>
        </w:trPr>
        <w:tc>
          <w:tcPr>
            <w:tcW w:w="1635"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3-Oct-12</w:t>
            </w:r>
          </w:p>
        </w:tc>
        <w:tc>
          <w:tcPr>
            <w:tcW w:w="135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1.30</w:t>
            </w:r>
          </w:p>
        </w:tc>
        <w:tc>
          <w:tcPr>
            <w:tcW w:w="126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0.16</w:t>
            </w:r>
          </w:p>
        </w:tc>
        <w:tc>
          <w:tcPr>
            <w:tcW w:w="124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12%</w:t>
            </w:r>
          </w:p>
        </w:tc>
        <w:tc>
          <w:tcPr>
            <w:tcW w:w="1216"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1.69</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0.30</w:t>
            </w:r>
          </w:p>
        </w:tc>
        <w:tc>
          <w:tcPr>
            <w:tcW w:w="1417"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18%</w:t>
            </w:r>
          </w:p>
        </w:tc>
      </w:tr>
      <w:tr w:rsidR="00701E06" w:rsidRPr="00612923" w:rsidTr="00701E06">
        <w:trPr>
          <w:trHeight w:val="300"/>
          <w:jc w:val="center"/>
        </w:trPr>
        <w:tc>
          <w:tcPr>
            <w:tcW w:w="1635"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Average Event Day</w:t>
            </w:r>
          </w:p>
        </w:tc>
        <w:tc>
          <w:tcPr>
            <w:tcW w:w="135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1.44</w:t>
            </w:r>
          </w:p>
        </w:tc>
        <w:tc>
          <w:tcPr>
            <w:tcW w:w="126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0.20</w:t>
            </w:r>
          </w:p>
        </w:tc>
        <w:tc>
          <w:tcPr>
            <w:tcW w:w="1240"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14%</w:t>
            </w:r>
          </w:p>
        </w:tc>
        <w:tc>
          <w:tcPr>
            <w:tcW w:w="1216"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1.71</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0.22</w:t>
            </w:r>
          </w:p>
        </w:tc>
        <w:tc>
          <w:tcPr>
            <w:tcW w:w="1417"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13%</w:t>
            </w:r>
          </w:p>
        </w:tc>
      </w:tr>
      <w:tr w:rsidR="00701E06" w:rsidRPr="00612923" w:rsidTr="00701E06">
        <w:trPr>
          <w:trHeight w:val="300"/>
          <w:jc w:val="center"/>
        </w:trPr>
        <w:tc>
          <w:tcPr>
            <w:tcW w:w="1635" w:type="dxa"/>
            <w:tcBorders>
              <w:top w:val="nil"/>
              <w:left w:val="nil"/>
              <w:bottom w:val="nil"/>
              <w:right w:val="nil"/>
            </w:tcBorders>
            <w:shd w:val="clear" w:color="auto" w:fill="auto"/>
            <w:noWrap/>
            <w:vAlign w:val="bottom"/>
            <w:hideMark/>
          </w:tcPr>
          <w:p w:rsidR="00701E06" w:rsidRPr="00612923" w:rsidRDefault="00701E06" w:rsidP="00701E06">
            <w:pPr>
              <w:spacing w:after="0" w:line="240" w:lineRule="auto"/>
              <w:rPr>
                <w:color w:val="000000"/>
              </w:rPr>
            </w:pPr>
          </w:p>
        </w:tc>
        <w:tc>
          <w:tcPr>
            <w:tcW w:w="1350" w:type="dxa"/>
            <w:tcBorders>
              <w:top w:val="nil"/>
              <w:left w:val="nil"/>
              <w:bottom w:val="nil"/>
              <w:right w:val="nil"/>
            </w:tcBorders>
            <w:shd w:val="clear" w:color="auto" w:fill="auto"/>
            <w:noWrap/>
            <w:vAlign w:val="bottom"/>
            <w:hideMark/>
          </w:tcPr>
          <w:p w:rsidR="00701E06" w:rsidRPr="00612923" w:rsidRDefault="00701E06" w:rsidP="00701E06">
            <w:pPr>
              <w:spacing w:after="0" w:line="240" w:lineRule="auto"/>
              <w:rPr>
                <w:color w:val="000000"/>
              </w:rPr>
            </w:pPr>
          </w:p>
        </w:tc>
        <w:tc>
          <w:tcPr>
            <w:tcW w:w="1260" w:type="dxa"/>
            <w:tcBorders>
              <w:top w:val="nil"/>
              <w:left w:val="nil"/>
              <w:bottom w:val="nil"/>
              <w:right w:val="nil"/>
            </w:tcBorders>
            <w:shd w:val="clear" w:color="auto" w:fill="auto"/>
            <w:noWrap/>
            <w:vAlign w:val="bottom"/>
            <w:hideMark/>
          </w:tcPr>
          <w:p w:rsidR="00701E06" w:rsidRPr="00612923" w:rsidRDefault="00701E06" w:rsidP="00701E06">
            <w:pPr>
              <w:spacing w:after="0" w:line="240" w:lineRule="auto"/>
              <w:rPr>
                <w:color w:val="000000"/>
              </w:rPr>
            </w:pPr>
          </w:p>
        </w:tc>
        <w:tc>
          <w:tcPr>
            <w:tcW w:w="1240" w:type="dxa"/>
            <w:tcBorders>
              <w:top w:val="nil"/>
              <w:left w:val="nil"/>
              <w:bottom w:val="nil"/>
              <w:right w:val="nil"/>
            </w:tcBorders>
            <w:shd w:val="clear" w:color="auto" w:fill="auto"/>
            <w:noWrap/>
            <w:vAlign w:val="bottom"/>
            <w:hideMark/>
          </w:tcPr>
          <w:p w:rsidR="00701E06" w:rsidRPr="00612923" w:rsidRDefault="00701E06" w:rsidP="00701E06">
            <w:pPr>
              <w:spacing w:after="0" w:line="240" w:lineRule="auto"/>
              <w:rPr>
                <w:color w:val="000000"/>
              </w:rPr>
            </w:pPr>
          </w:p>
        </w:tc>
        <w:tc>
          <w:tcPr>
            <w:tcW w:w="3827" w:type="dxa"/>
            <w:gridSpan w:val="3"/>
            <w:tcBorders>
              <w:top w:val="nil"/>
              <w:left w:val="nil"/>
              <w:bottom w:val="nil"/>
              <w:right w:val="nil"/>
            </w:tcBorders>
            <w:shd w:val="clear" w:color="auto" w:fill="auto"/>
            <w:noWrap/>
            <w:vAlign w:val="bottom"/>
            <w:hideMark/>
          </w:tcPr>
          <w:p w:rsidR="00701E06" w:rsidRPr="00612923" w:rsidRDefault="00701E06" w:rsidP="00D141F9">
            <w:pPr>
              <w:pStyle w:val="Footnote"/>
            </w:pPr>
          </w:p>
        </w:tc>
      </w:tr>
    </w:tbl>
    <w:p w:rsidR="00701E06" w:rsidRPr="00612923" w:rsidRDefault="00701E06" w:rsidP="00701E06">
      <w:pPr>
        <w:pStyle w:val="TableFigureCaption"/>
      </w:pPr>
    </w:p>
    <w:p w:rsidR="00701E06" w:rsidRPr="00612923" w:rsidRDefault="00701E06" w:rsidP="00701E06">
      <w:pPr>
        <w:pStyle w:val="TableFigureCaption"/>
      </w:pPr>
      <w:r w:rsidRPr="00612923">
        <w:t>Table 3-</w:t>
      </w:r>
      <w:r w:rsidR="00761C52" w:rsidRPr="00612923">
        <w:t>6</w:t>
      </w:r>
      <w:r w:rsidRPr="00612923">
        <w:t>: Ex Post Impact Comparison for Control Group Method and Individual Customer Regression Method, Dually-</w:t>
      </w:r>
      <w:r w:rsidR="00761C52" w:rsidRPr="00612923">
        <w:t>e</w:t>
      </w:r>
      <w:r w:rsidRPr="00612923">
        <w:t>nrolled Customers</w:t>
      </w:r>
    </w:p>
    <w:tbl>
      <w:tblPr>
        <w:tblW w:w="8725" w:type="dxa"/>
        <w:tblInd w:w="93" w:type="dxa"/>
        <w:tblLook w:val="04A0"/>
      </w:tblPr>
      <w:tblGrid>
        <w:gridCol w:w="1581"/>
        <w:gridCol w:w="1184"/>
        <w:gridCol w:w="1194"/>
        <w:gridCol w:w="1194"/>
        <w:gridCol w:w="1184"/>
        <w:gridCol w:w="1194"/>
        <w:gridCol w:w="1194"/>
      </w:tblGrid>
      <w:tr w:rsidR="00701E06" w:rsidRPr="00612923" w:rsidTr="00701E06">
        <w:trPr>
          <w:trHeight w:val="315"/>
        </w:trPr>
        <w:tc>
          <w:tcPr>
            <w:tcW w:w="1581" w:type="dxa"/>
            <w:vMerge w:val="restart"/>
            <w:tcBorders>
              <w:top w:val="single" w:sz="8" w:space="0" w:color="auto"/>
              <w:left w:val="single" w:sz="8" w:space="0" w:color="auto"/>
              <w:bottom w:val="nil"/>
              <w:right w:val="single" w:sz="8" w:space="0" w:color="FFFFFF"/>
            </w:tcBorders>
            <w:shd w:val="clear" w:color="000000" w:fill="1F497D"/>
            <w:vAlign w:val="center"/>
            <w:hideMark/>
          </w:tcPr>
          <w:p w:rsidR="00701E06" w:rsidRPr="00612923" w:rsidRDefault="00701E06" w:rsidP="00254844">
            <w:pPr>
              <w:pStyle w:val="TableHeader"/>
              <w:keepNext/>
            </w:pPr>
            <w:r w:rsidRPr="00612923">
              <w:t>Date</w:t>
            </w:r>
          </w:p>
        </w:tc>
        <w:tc>
          <w:tcPr>
            <w:tcW w:w="3572" w:type="dxa"/>
            <w:gridSpan w:val="3"/>
            <w:tcBorders>
              <w:top w:val="single" w:sz="8" w:space="0" w:color="auto"/>
              <w:left w:val="nil"/>
              <w:bottom w:val="single" w:sz="8" w:space="0" w:color="FFFFFF"/>
              <w:right w:val="single" w:sz="8" w:space="0" w:color="FFFFFF"/>
            </w:tcBorders>
            <w:shd w:val="clear" w:color="000000" w:fill="1F497D"/>
            <w:vAlign w:val="center"/>
            <w:hideMark/>
          </w:tcPr>
          <w:p w:rsidR="00701E06" w:rsidRPr="00612923" w:rsidRDefault="00701E06" w:rsidP="00254844">
            <w:pPr>
              <w:pStyle w:val="TableHeader"/>
              <w:keepNext/>
            </w:pPr>
            <w:r w:rsidRPr="00612923">
              <w:t>Matched Control Group</w:t>
            </w:r>
          </w:p>
        </w:tc>
        <w:tc>
          <w:tcPr>
            <w:tcW w:w="3572" w:type="dxa"/>
            <w:gridSpan w:val="3"/>
            <w:tcBorders>
              <w:top w:val="single" w:sz="8" w:space="0" w:color="auto"/>
              <w:left w:val="nil"/>
              <w:bottom w:val="single" w:sz="8" w:space="0" w:color="FFFFFF"/>
              <w:right w:val="single" w:sz="8" w:space="0" w:color="000000"/>
            </w:tcBorders>
            <w:shd w:val="clear" w:color="000000" w:fill="1F497D"/>
            <w:vAlign w:val="center"/>
            <w:hideMark/>
          </w:tcPr>
          <w:p w:rsidR="00701E06" w:rsidRPr="00612923" w:rsidRDefault="00701E06" w:rsidP="00254844">
            <w:pPr>
              <w:pStyle w:val="TableHeader"/>
              <w:keepNext/>
            </w:pPr>
            <w:r w:rsidRPr="00612923">
              <w:t>Individual Customer Regressions</w:t>
            </w:r>
          </w:p>
        </w:tc>
      </w:tr>
      <w:tr w:rsidR="002E27BD" w:rsidRPr="00612923" w:rsidTr="00FD127A">
        <w:trPr>
          <w:trHeight w:val="1085"/>
        </w:trPr>
        <w:tc>
          <w:tcPr>
            <w:tcW w:w="1581" w:type="dxa"/>
            <w:vMerge/>
            <w:tcBorders>
              <w:top w:val="single" w:sz="8" w:space="0" w:color="auto"/>
              <w:left w:val="single" w:sz="8" w:space="0" w:color="auto"/>
              <w:bottom w:val="nil"/>
              <w:right w:val="single" w:sz="8" w:space="0" w:color="FFFFFF"/>
            </w:tcBorders>
            <w:vAlign w:val="center"/>
            <w:hideMark/>
          </w:tcPr>
          <w:p w:rsidR="002E27BD" w:rsidRPr="00612923" w:rsidRDefault="002E27BD" w:rsidP="00254844">
            <w:pPr>
              <w:pStyle w:val="TableHeader"/>
              <w:keepNext/>
            </w:pPr>
          </w:p>
        </w:tc>
        <w:tc>
          <w:tcPr>
            <w:tcW w:w="1184" w:type="dxa"/>
            <w:tcBorders>
              <w:top w:val="nil"/>
              <w:left w:val="nil"/>
              <w:right w:val="single" w:sz="8" w:space="0" w:color="FFFFFF"/>
            </w:tcBorders>
            <w:shd w:val="clear" w:color="000000" w:fill="1F497D"/>
            <w:vAlign w:val="center"/>
            <w:hideMark/>
          </w:tcPr>
          <w:p w:rsidR="002E27BD" w:rsidRPr="00612923" w:rsidRDefault="002E27BD" w:rsidP="00254844">
            <w:pPr>
              <w:pStyle w:val="TableHeader"/>
              <w:keepNext/>
            </w:pPr>
            <w:r w:rsidRPr="00612923">
              <w:t>Average Reference Load (kW)</w:t>
            </w:r>
          </w:p>
        </w:tc>
        <w:tc>
          <w:tcPr>
            <w:tcW w:w="1194" w:type="dxa"/>
            <w:tcBorders>
              <w:top w:val="nil"/>
              <w:left w:val="single" w:sz="8" w:space="0" w:color="FFFFFF"/>
              <w:bottom w:val="nil"/>
              <w:right w:val="single" w:sz="8" w:space="0" w:color="FFFFFF"/>
            </w:tcBorders>
            <w:shd w:val="clear" w:color="000000" w:fill="1F497D"/>
            <w:vAlign w:val="center"/>
            <w:hideMark/>
          </w:tcPr>
          <w:p w:rsidR="002E27BD" w:rsidRPr="00612923" w:rsidRDefault="002E27BD" w:rsidP="00254844">
            <w:pPr>
              <w:pStyle w:val="TableHeader"/>
              <w:keepNext/>
            </w:pPr>
            <w:r w:rsidRPr="00612923">
              <w:t>Average Load Reduction (kW)</w:t>
            </w:r>
          </w:p>
        </w:tc>
        <w:tc>
          <w:tcPr>
            <w:tcW w:w="1194" w:type="dxa"/>
            <w:tcBorders>
              <w:top w:val="nil"/>
              <w:left w:val="single" w:sz="8" w:space="0" w:color="FFFFFF"/>
              <w:bottom w:val="nil"/>
              <w:right w:val="single" w:sz="8" w:space="0" w:color="FFFFFF"/>
            </w:tcBorders>
            <w:shd w:val="clear" w:color="000000" w:fill="1F497D"/>
            <w:vAlign w:val="center"/>
            <w:hideMark/>
          </w:tcPr>
          <w:p w:rsidR="002E27BD" w:rsidRPr="00612923" w:rsidRDefault="002E27BD" w:rsidP="00254844">
            <w:pPr>
              <w:pStyle w:val="TableHeader"/>
              <w:keepNext/>
            </w:pPr>
            <w:r w:rsidRPr="00612923">
              <w:t>% Load Reduction</w:t>
            </w:r>
          </w:p>
        </w:tc>
        <w:tc>
          <w:tcPr>
            <w:tcW w:w="1184" w:type="dxa"/>
            <w:tcBorders>
              <w:top w:val="nil"/>
              <w:left w:val="nil"/>
              <w:right w:val="single" w:sz="8" w:space="0" w:color="FFFFFF"/>
            </w:tcBorders>
            <w:shd w:val="clear" w:color="000000" w:fill="1F497D"/>
            <w:vAlign w:val="center"/>
            <w:hideMark/>
          </w:tcPr>
          <w:p w:rsidR="002E27BD" w:rsidRPr="00612923" w:rsidRDefault="002E27BD" w:rsidP="00254844">
            <w:pPr>
              <w:pStyle w:val="TableHeader"/>
              <w:keepNext/>
            </w:pPr>
            <w:r w:rsidRPr="00612923">
              <w:t>Average Reference Load (kW)</w:t>
            </w:r>
          </w:p>
        </w:tc>
        <w:tc>
          <w:tcPr>
            <w:tcW w:w="1194" w:type="dxa"/>
            <w:tcBorders>
              <w:top w:val="nil"/>
              <w:left w:val="single" w:sz="8" w:space="0" w:color="FFFFFF"/>
              <w:bottom w:val="nil"/>
              <w:right w:val="single" w:sz="8" w:space="0" w:color="FFFFFF"/>
            </w:tcBorders>
            <w:shd w:val="clear" w:color="000000" w:fill="1F497D"/>
            <w:vAlign w:val="center"/>
            <w:hideMark/>
          </w:tcPr>
          <w:p w:rsidR="002E27BD" w:rsidRPr="00612923" w:rsidRDefault="002E27BD" w:rsidP="00254844">
            <w:pPr>
              <w:pStyle w:val="TableHeader"/>
              <w:keepNext/>
            </w:pPr>
            <w:r w:rsidRPr="00612923">
              <w:t>Average Load Reduction (kW)</w:t>
            </w:r>
          </w:p>
        </w:tc>
        <w:tc>
          <w:tcPr>
            <w:tcW w:w="1194" w:type="dxa"/>
            <w:tcBorders>
              <w:top w:val="nil"/>
              <w:left w:val="single" w:sz="8" w:space="0" w:color="FFFFFF"/>
              <w:bottom w:val="nil"/>
              <w:right w:val="single" w:sz="8" w:space="0" w:color="auto"/>
            </w:tcBorders>
            <w:shd w:val="clear" w:color="000000" w:fill="1F497D"/>
            <w:vAlign w:val="center"/>
            <w:hideMark/>
          </w:tcPr>
          <w:p w:rsidR="002E27BD" w:rsidRPr="00612923" w:rsidRDefault="002E27BD" w:rsidP="00254844">
            <w:pPr>
              <w:pStyle w:val="TableHeader"/>
              <w:keepNext/>
            </w:pPr>
            <w:r w:rsidRPr="00612923">
              <w:t>% Load Reduction</w:t>
            </w:r>
          </w:p>
        </w:tc>
      </w:tr>
      <w:tr w:rsidR="00701E06" w:rsidRPr="00612923" w:rsidTr="00701E06">
        <w:trPr>
          <w:trHeight w:val="300"/>
        </w:trPr>
        <w:tc>
          <w:tcPr>
            <w:tcW w:w="158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9-Jul-12</w:t>
            </w:r>
          </w:p>
        </w:tc>
        <w:tc>
          <w:tcPr>
            <w:tcW w:w="1184"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1.65</w:t>
            </w:r>
          </w:p>
        </w:tc>
        <w:tc>
          <w:tcPr>
            <w:tcW w:w="1194"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0.48</w:t>
            </w:r>
          </w:p>
        </w:tc>
        <w:tc>
          <w:tcPr>
            <w:tcW w:w="1194"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29%</w:t>
            </w:r>
          </w:p>
        </w:tc>
        <w:tc>
          <w:tcPr>
            <w:tcW w:w="1184"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1.96</w:t>
            </w:r>
          </w:p>
        </w:tc>
        <w:tc>
          <w:tcPr>
            <w:tcW w:w="1194"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0.40</w:t>
            </w:r>
          </w:p>
        </w:tc>
        <w:tc>
          <w:tcPr>
            <w:tcW w:w="1194" w:type="dxa"/>
            <w:tcBorders>
              <w:top w:val="single" w:sz="4" w:space="0" w:color="auto"/>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21%</w:t>
            </w:r>
          </w:p>
        </w:tc>
      </w:tr>
      <w:tr w:rsidR="00701E06" w:rsidRPr="00612923" w:rsidTr="00701E06">
        <w:trPr>
          <w:trHeight w:val="300"/>
        </w:trPr>
        <w:tc>
          <w:tcPr>
            <w:tcW w:w="1581"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10-Jul-12</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1.90</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0.49</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25%</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2.19</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0.47</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22%</w:t>
            </w:r>
          </w:p>
        </w:tc>
      </w:tr>
      <w:tr w:rsidR="00701E06" w:rsidRPr="00612923" w:rsidTr="00701E06">
        <w:trPr>
          <w:trHeight w:val="300"/>
        </w:trPr>
        <w:tc>
          <w:tcPr>
            <w:tcW w:w="1581"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11-Jul-12</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2.19</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0.56</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25%</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2.57</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0.63</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25%</w:t>
            </w:r>
          </w:p>
        </w:tc>
      </w:tr>
      <w:tr w:rsidR="00701E06" w:rsidRPr="00612923" w:rsidTr="00701E06">
        <w:trPr>
          <w:trHeight w:val="300"/>
        </w:trPr>
        <w:tc>
          <w:tcPr>
            <w:tcW w:w="1581"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23-Jul-12</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1.76</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0.41</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23%</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2.25</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0.52</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23%</w:t>
            </w:r>
          </w:p>
        </w:tc>
      </w:tr>
      <w:tr w:rsidR="00701E06" w:rsidRPr="00612923" w:rsidTr="00701E06">
        <w:trPr>
          <w:trHeight w:val="300"/>
        </w:trPr>
        <w:tc>
          <w:tcPr>
            <w:tcW w:w="1581"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4-Sep-12</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1.47</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0.38</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25%</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1.99</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0.55</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27%</w:t>
            </w:r>
          </w:p>
        </w:tc>
      </w:tr>
      <w:tr w:rsidR="00701E06" w:rsidRPr="00612923" w:rsidTr="00701E06">
        <w:trPr>
          <w:trHeight w:val="300"/>
        </w:trPr>
        <w:tc>
          <w:tcPr>
            <w:tcW w:w="1581"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13-Sep-12</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1.53</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0.38</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25%</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2.01</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0.50</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25%</w:t>
            </w:r>
          </w:p>
        </w:tc>
      </w:tr>
      <w:tr w:rsidR="00701E06" w:rsidRPr="00612923" w:rsidTr="00701E06">
        <w:trPr>
          <w:trHeight w:val="300"/>
        </w:trPr>
        <w:tc>
          <w:tcPr>
            <w:tcW w:w="1581"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14-Sep-12</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1.50</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0.35</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23%</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1.98</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0.45</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22%</w:t>
            </w:r>
          </w:p>
        </w:tc>
      </w:tr>
      <w:tr w:rsidR="00701E06" w:rsidRPr="00612923" w:rsidTr="00701E06">
        <w:trPr>
          <w:trHeight w:val="300"/>
        </w:trPr>
        <w:tc>
          <w:tcPr>
            <w:tcW w:w="1581"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1-Oct-12</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1.63</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0.45</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28%</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1.94</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0.54</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28%</w:t>
            </w:r>
          </w:p>
        </w:tc>
      </w:tr>
      <w:tr w:rsidR="00701E06" w:rsidRPr="00612923" w:rsidTr="00701E06">
        <w:trPr>
          <w:trHeight w:val="300"/>
        </w:trPr>
        <w:tc>
          <w:tcPr>
            <w:tcW w:w="1581"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2-Oct-12</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1.71</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0.43</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25%</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2.02</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0.56</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28%</w:t>
            </w:r>
          </w:p>
        </w:tc>
      </w:tr>
      <w:tr w:rsidR="00701E06" w:rsidRPr="00612923" w:rsidTr="00701E06">
        <w:trPr>
          <w:trHeight w:val="300"/>
        </w:trPr>
        <w:tc>
          <w:tcPr>
            <w:tcW w:w="1581"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3-Oct-12</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1.53</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0.35</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23%</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2.05</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0.61</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54844">
            <w:pPr>
              <w:pStyle w:val="TableText"/>
              <w:keepNext/>
            </w:pPr>
            <w:r w:rsidRPr="00612923">
              <w:t>30%</w:t>
            </w:r>
          </w:p>
        </w:tc>
      </w:tr>
      <w:tr w:rsidR="00701E06" w:rsidRPr="00612923" w:rsidTr="00701E06">
        <w:trPr>
          <w:trHeight w:val="300"/>
        </w:trPr>
        <w:tc>
          <w:tcPr>
            <w:tcW w:w="1581" w:type="dxa"/>
            <w:tcBorders>
              <w:top w:val="nil"/>
              <w:left w:val="single" w:sz="4" w:space="0" w:color="auto"/>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Average Event Day</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1.65</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0.42</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25%</w:t>
            </w:r>
          </w:p>
        </w:tc>
        <w:tc>
          <w:tcPr>
            <w:tcW w:w="118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2.10</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0.52</w:t>
            </w:r>
          </w:p>
        </w:tc>
        <w:tc>
          <w:tcPr>
            <w:tcW w:w="1194" w:type="dxa"/>
            <w:tcBorders>
              <w:top w:val="nil"/>
              <w:left w:val="nil"/>
              <w:bottom w:val="single" w:sz="4" w:space="0" w:color="auto"/>
              <w:right w:val="single" w:sz="4" w:space="0" w:color="auto"/>
            </w:tcBorders>
            <w:shd w:val="clear" w:color="000000" w:fill="FFFFFF"/>
            <w:noWrap/>
            <w:vAlign w:val="center"/>
            <w:hideMark/>
          </w:tcPr>
          <w:p w:rsidR="00701E06" w:rsidRPr="00612923" w:rsidRDefault="00701E06" w:rsidP="002E27BD">
            <w:pPr>
              <w:pStyle w:val="TableText"/>
            </w:pPr>
            <w:r w:rsidRPr="00612923">
              <w:t>25%</w:t>
            </w:r>
          </w:p>
        </w:tc>
      </w:tr>
      <w:bookmarkEnd w:id="23"/>
    </w:tbl>
    <w:p w:rsidR="00701E06" w:rsidRPr="00612923" w:rsidRDefault="00701E06" w:rsidP="00701E06">
      <w:pPr>
        <w:pStyle w:val="Heading1"/>
        <w:rPr>
          <w:noProof/>
        </w:rPr>
      </w:pPr>
      <w:r w:rsidRPr="00612923">
        <w:rPr>
          <w:noProof/>
        </w:rPr>
        <w:br w:type="page"/>
      </w:r>
      <w:bookmarkStart w:id="29" w:name="_Toc349193882"/>
      <w:bookmarkStart w:id="30" w:name="_Toc352567297"/>
      <w:r w:rsidRPr="00612923">
        <w:rPr>
          <w:noProof/>
        </w:rPr>
        <w:lastRenderedPageBreak/>
        <w:t>SmartRate 2012 Ex Post Load Impacts</w:t>
      </w:r>
      <w:bookmarkEnd w:id="29"/>
      <w:bookmarkEnd w:id="30"/>
    </w:p>
    <w:p w:rsidR="00701E06" w:rsidRPr="00612923" w:rsidRDefault="00701E06" w:rsidP="00701E06">
      <w:pPr>
        <w:pStyle w:val="BodyBeforeBullet"/>
      </w:pPr>
      <w:r w:rsidRPr="00612923">
        <w:t>This section summarizes the ex post load impact estimates for SmartRate for the 2012 program year.  In keeping with the requirements for ex post load impact evaluations, results are presented for each hour of each event day for the average customer and for all customers enrolled at the time of the event.  In addition to meeting the basic load impact protocol requirements, detailed analysis has been conducted to understand how load impacts vary across several factors, including:</w:t>
      </w:r>
    </w:p>
    <w:p w:rsidR="00701E06" w:rsidRPr="00612923" w:rsidRDefault="00701E06" w:rsidP="00701E06">
      <w:pPr>
        <w:pStyle w:val="Bullets"/>
      </w:pPr>
      <w:r w:rsidRPr="00612923">
        <w:t>Local capacity area;</w:t>
      </w:r>
    </w:p>
    <w:p w:rsidR="00701E06" w:rsidRPr="00612923" w:rsidRDefault="00701E06" w:rsidP="00701E06">
      <w:pPr>
        <w:pStyle w:val="Bullets"/>
      </w:pPr>
      <w:r w:rsidRPr="00612923">
        <w:t>CARE status;</w:t>
      </w:r>
    </w:p>
    <w:p w:rsidR="00701E06" w:rsidRPr="00612923" w:rsidRDefault="00701E06" w:rsidP="00701E06">
      <w:pPr>
        <w:pStyle w:val="Bullets"/>
      </w:pPr>
      <w:r w:rsidRPr="00612923">
        <w:t>Number of successful notifications; and</w:t>
      </w:r>
    </w:p>
    <w:p w:rsidR="00701E06" w:rsidRPr="00612923" w:rsidRDefault="00701E06" w:rsidP="00701E06">
      <w:pPr>
        <w:pStyle w:val="BulletLast"/>
      </w:pPr>
      <w:r w:rsidRPr="00612923">
        <w:t xml:space="preserve">Central AC saturation and temperature. </w:t>
      </w:r>
    </w:p>
    <w:p w:rsidR="00701E06" w:rsidRPr="00612923" w:rsidRDefault="00701E06" w:rsidP="00701E06">
      <w:pPr>
        <w:pStyle w:val="BodyParagraph"/>
      </w:pPr>
      <w:r w:rsidRPr="00612923">
        <w:t xml:space="preserve">The characteristics of customers who give greater-than-average load impacts are also discussed.  </w:t>
      </w:r>
    </w:p>
    <w:p w:rsidR="00701E06" w:rsidRPr="00612923" w:rsidRDefault="00701E06" w:rsidP="00701E06">
      <w:pPr>
        <w:pStyle w:val="BodyBeforeBullet"/>
      </w:pPr>
      <w:r w:rsidRPr="00612923">
        <w:t>The analysis presented here also addresses several important policy questions, including:</w:t>
      </w:r>
    </w:p>
    <w:p w:rsidR="00701E06" w:rsidRPr="00612923" w:rsidRDefault="00701E06" w:rsidP="00701E06">
      <w:pPr>
        <w:pStyle w:val="Bullets"/>
      </w:pPr>
      <w:r w:rsidRPr="00612923">
        <w:t xml:space="preserve">Attrition rates and the pattern of attrition for SmartRate participants; </w:t>
      </w:r>
    </w:p>
    <w:p w:rsidR="00701E06" w:rsidRPr="00612923" w:rsidRDefault="00701E06" w:rsidP="00701E06">
      <w:pPr>
        <w:pStyle w:val="Bullets"/>
      </w:pPr>
      <w:r w:rsidRPr="00612923">
        <w:t>Whether bill protection affects customer load impacts; and</w:t>
      </w:r>
    </w:p>
    <w:p w:rsidR="00701E06" w:rsidRPr="00612923" w:rsidRDefault="00701E06" w:rsidP="00701E06">
      <w:pPr>
        <w:pStyle w:val="BulletLast"/>
      </w:pPr>
      <w:r w:rsidRPr="00612923">
        <w:t>The extent to which automated load response via thermostats or direct load control switches produces incremental impacts over and above what customers with central AC provide on their own.</w:t>
      </w:r>
    </w:p>
    <w:p w:rsidR="00701E06" w:rsidRPr="00612923" w:rsidRDefault="00701E06" w:rsidP="00701E06">
      <w:pPr>
        <w:pStyle w:val="BodyParagraph"/>
      </w:pPr>
      <w:r w:rsidRPr="00612923">
        <w:t xml:space="preserve">Different methods and models are used to analyze different issues.  The assessments of overall impacts and impacts by local capacity area and CARE status are based on results from the matched control groups.  These analyses reflect impact estimates that are accurate for the population enrolled as of each event.  All of the other issues are investigated using individual customer regressions for the group of customers who experienced all 2012 event days.    </w:t>
      </w:r>
    </w:p>
    <w:p w:rsidR="00701E06" w:rsidRPr="00612923" w:rsidRDefault="00701E06" w:rsidP="002E27BD">
      <w:pPr>
        <w:pStyle w:val="Heading2"/>
      </w:pPr>
      <w:bookmarkStart w:id="31" w:name="_Toc349193883"/>
      <w:bookmarkStart w:id="32" w:name="_Toc352567298"/>
      <w:r w:rsidRPr="00612923">
        <w:t>Average Event Impacts</w:t>
      </w:r>
      <w:bookmarkEnd w:id="31"/>
      <w:bookmarkEnd w:id="32"/>
    </w:p>
    <w:p w:rsidR="00701E06" w:rsidRPr="00612923" w:rsidRDefault="00701E06" w:rsidP="00701E06">
      <w:pPr>
        <w:pStyle w:val="BodyParagraph"/>
      </w:pPr>
      <w:r w:rsidRPr="00612923">
        <w:t>Figure 4-1 shows the hourly load impacts for the average SmartRate-</w:t>
      </w:r>
      <w:r w:rsidR="00387990" w:rsidRPr="00612923">
        <w:t>o</w:t>
      </w:r>
      <w:r w:rsidRPr="00612923">
        <w:t>nly customer across the 10 event days in 2012.  The average impact for all events across the 5-hour event window was 0.20 kW, or 14%</w:t>
      </w:r>
      <w:r w:rsidR="004A0426">
        <w:t>,</w:t>
      </w:r>
      <w:r w:rsidR="0045539A">
        <w:t xml:space="preserve"> </w:t>
      </w:r>
      <w:r w:rsidR="004A0426">
        <w:t xml:space="preserve">compared </w:t>
      </w:r>
      <w:r w:rsidRPr="00612923">
        <w:t xml:space="preserve">to the 0.25 kW average ex post load impact estimate in the 2011 evaluation, </w:t>
      </w:r>
      <w:r w:rsidR="004A0426">
        <w:t>while</w:t>
      </w:r>
      <w:r w:rsidR="004A0426" w:rsidRPr="00612923">
        <w:t xml:space="preserve"> </w:t>
      </w:r>
      <w:r w:rsidRPr="00612923">
        <w:t xml:space="preserve">as discussed in </w:t>
      </w:r>
      <w:r w:rsidR="00387990" w:rsidRPr="00612923">
        <w:t>S</w:t>
      </w:r>
      <w:r w:rsidRPr="00612923">
        <w:t xml:space="preserve">ection 2, the population grew in 2012 and the geographic distribution shifted.  Finally, in 2011, the dually-enrolled population was small enough that it wasn’t specifically broken out for ex post estimation, so the 0.25 kW value includes the effect of dually-enrolled customers who made up about 20% of the program in 2011.  With all these differences, we shouldn’t expect impact estimates to be the same for 2012 as 2011. </w:t>
      </w:r>
    </w:p>
    <w:p w:rsidR="00701E06" w:rsidRPr="00612923" w:rsidRDefault="00701E06" w:rsidP="00701E06">
      <w:pPr>
        <w:pStyle w:val="BodyParagraph"/>
      </w:pPr>
      <w:r w:rsidRPr="00612923">
        <w:t>The percentage load reduction is highest from 4 to 7 PM, and lowest in the first hour, from 2 to 3 PM.  Average hourly load impacts vary from a low of 0.15 kW in the first hour to a high of 0.24 kW in the hour between 5 and 6 PM.  The reference load increases from a low of 1.21 kW from 2 to 3 PM, when the average temperature is 88</w:t>
      </w:r>
      <w:r w:rsidRPr="00612923">
        <w:rPr>
          <w:rFonts w:cs="Arial"/>
        </w:rPr>
        <w:t>°</w:t>
      </w:r>
      <w:r w:rsidRPr="00612923">
        <w:t>F, to a high of 1.59 kW between 6 and 7 PM, when the temperature is about 87</w:t>
      </w:r>
      <w:r w:rsidRPr="00612923">
        <w:rPr>
          <w:rFonts w:cs="Arial"/>
        </w:rPr>
        <w:t>°</w:t>
      </w:r>
      <w:r w:rsidRPr="00612923">
        <w:t>F and people generally return home from work.</w:t>
      </w:r>
    </w:p>
    <w:p w:rsidR="00701E06" w:rsidRPr="00612923" w:rsidRDefault="00701E06" w:rsidP="00701E06">
      <w:pPr>
        <w:pStyle w:val="BodyParagraph"/>
      </w:pPr>
      <w:r w:rsidRPr="00612923">
        <w:t>The number of enrolled customers shown in Figure</w:t>
      </w:r>
      <w:r w:rsidR="00387990" w:rsidRPr="00612923">
        <w:t xml:space="preserve"> 4-1</w:t>
      </w:r>
      <w:r w:rsidRPr="00612923">
        <w:t xml:space="preserve"> is the average number of enrolled customers across the </w:t>
      </w:r>
      <w:r w:rsidR="00387990" w:rsidRPr="00612923">
        <w:t xml:space="preserve">10 </w:t>
      </w:r>
      <w:r w:rsidRPr="00612923">
        <w:t>event days in 2012.</w:t>
      </w:r>
    </w:p>
    <w:p w:rsidR="00701E06" w:rsidRPr="00612923" w:rsidRDefault="00701E06" w:rsidP="00701E06">
      <w:pPr>
        <w:pStyle w:val="BodyParagraph"/>
      </w:pPr>
      <w:r w:rsidRPr="00612923">
        <w:lastRenderedPageBreak/>
        <w:t xml:space="preserve">For the average customer, there is an increase in electricity consumption relative to the reference load in the evening hours following the end of the event.  This probably occurs because many customers voluntarily reduce their AC use during events and the AC unit must run more to cool the house after the event period ends than it would have in the absence of an event.  </w:t>
      </w:r>
    </w:p>
    <w:p w:rsidR="00701E06" w:rsidRPr="00612923" w:rsidRDefault="00701E06" w:rsidP="002E27BD">
      <w:pPr>
        <w:pStyle w:val="BodyParagraph"/>
      </w:pPr>
      <w:r w:rsidRPr="00612923">
        <w:t>Figure 4-2 shows the hourly load impacts for the average dually-enrolled customer across the 10 event days in 2012.  The average impact for all events across the 5-hour event window was 0.42 kW, or 25% of reference load.</w:t>
      </w:r>
    </w:p>
    <w:p w:rsidR="00FD127A" w:rsidRPr="00612923" w:rsidRDefault="00FD127A" w:rsidP="002E27BD">
      <w:pPr>
        <w:pStyle w:val="BodyParagraph"/>
        <w:sectPr w:rsidR="00FD127A" w:rsidRPr="00612923" w:rsidSect="00701E06">
          <w:headerReference w:type="default" r:id="rId30"/>
          <w:pgSz w:w="12240" w:h="15840"/>
          <w:pgMar w:top="1440" w:right="1440" w:bottom="1440" w:left="1440" w:header="720" w:footer="720" w:gutter="0"/>
          <w:cols w:space="720"/>
          <w:docGrid w:linePitch="360"/>
        </w:sectPr>
      </w:pPr>
    </w:p>
    <w:p w:rsidR="00FD127A" w:rsidRPr="00612923" w:rsidRDefault="00FD127A" w:rsidP="00FD127A">
      <w:pPr>
        <w:pStyle w:val="TableFigureCaption"/>
      </w:pPr>
      <w:r w:rsidRPr="00612923">
        <w:lastRenderedPageBreak/>
        <w:t xml:space="preserve">Figure </w:t>
      </w:r>
      <w:r w:rsidR="00071D48">
        <w:fldChar w:fldCharType="begin"/>
      </w:r>
      <w:r w:rsidR="00A22ACF">
        <w:instrText xml:space="preserve"> STYLEREF 1 \s </w:instrText>
      </w:r>
      <w:r w:rsidR="00071D48">
        <w:fldChar w:fldCharType="separate"/>
      </w:r>
      <w:r w:rsidR="00911840">
        <w:rPr>
          <w:noProof/>
        </w:rPr>
        <w:t>4</w:t>
      </w:r>
      <w:r w:rsidR="00071D48">
        <w:rPr>
          <w:noProof/>
        </w:rPr>
        <w:fldChar w:fldCharType="end"/>
      </w:r>
      <w:r w:rsidRPr="00612923">
        <w:noBreakHyphen/>
      </w:r>
      <w:r w:rsidR="00071D48">
        <w:fldChar w:fldCharType="begin"/>
      </w:r>
      <w:r w:rsidR="00A22ACF">
        <w:instrText xml:space="preserve"> SEQ Figure \* ARABIC \s 1 </w:instrText>
      </w:r>
      <w:r w:rsidR="00071D48">
        <w:fldChar w:fldCharType="separate"/>
      </w:r>
      <w:r w:rsidR="00911840">
        <w:rPr>
          <w:noProof/>
        </w:rPr>
        <w:t>1</w:t>
      </w:r>
      <w:r w:rsidR="00071D48">
        <w:rPr>
          <w:noProof/>
        </w:rPr>
        <w:fldChar w:fldCharType="end"/>
      </w:r>
      <w:r w:rsidRPr="00612923">
        <w:t xml:space="preserve">: Average Load Impact per Hour for All 2012 Event Days </w:t>
      </w:r>
      <w:r w:rsidRPr="00612923">
        <w:br/>
        <w:t>(Average SmartRate-</w:t>
      </w:r>
      <w:r w:rsidR="00387990" w:rsidRPr="00612923">
        <w:t>o</w:t>
      </w:r>
      <w:r w:rsidRPr="00612923">
        <w:t>nly Participant)</w:t>
      </w:r>
    </w:p>
    <w:p w:rsidR="00FD127A" w:rsidRPr="00612923" w:rsidRDefault="00FD127A" w:rsidP="00FD127A">
      <w:pPr>
        <w:pStyle w:val="BodyParagraph"/>
      </w:pPr>
      <w:r w:rsidRPr="00612923">
        <w:rPr>
          <w:noProof/>
        </w:rPr>
        <w:drawing>
          <wp:inline distT="0" distB="0" distL="0" distR="0">
            <wp:extent cx="8298413" cy="3990975"/>
            <wp:effectExtent l="0" t="0" r="7620" b="0"/>
            <wp:docPr id="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12733" cy="3997862"/>
                    </a:xfrm>
                    <a:prstGeom prst="rect">
                      <a:avLst/>
                    </a:prstGeom>
                    <a:noFill/>
                    <a:ln>
                      <a:noFill/>
                    </a:ln>
                  </pic:spPr>
                </pic:pic>
              </a:graphicData>
            </a:graphic>
          </wp:inline>
        </w:drawing>
      </w:r>
    </w:p>
    <w:p w:rsidR="00FD127A" w:rsidRPr="00612923" w:rsidRDefault="00FD127A" w:rsidP="00FD127A">
      <w:pPr>
        <w:pStyle w:val="TableFigureCaption"/>
      </w:pPr>
      <w:r w:rsidRPr="00612923">
        <w:lastRenderedPageBreak/>
        <w:t xml:space="preserve">Figure </w:t>
      </w:r>
      <w:r w:rsidR="00071D48">
        <w:fldChar w:fldCharType="begin"/>
      </w:r>
      <w:r w:rsidR="00A22ACF">
        <w:instrText xml:space="preserve"> STYLEREF 1 \s </w:instrText>
      </w:r>
      <w:r w:rsidR="00071D48">
        <w:fldChar w:fldCharType="separate"/>
      </w:r>
      <w:r w:rsidR="00911840">
        <w:rPr>
          <w:noProof/>
        </w:rPr>
        <w:t>4</w:t>
      </w:r>
      <w:r w:rsidR="00071D48">
        <w:rPr>
          <w:noProof/>
        </w:rPr>
        <w:fldChar w:fldCharType="end"/>
      </w:r>
      <w:r w:rsidRPr="00612923">
        <w:noBreakHyphen/>
      </w:r>
      <w:r w:rsidR="008702A8" w:rsidRPr="00612923">
        <w:t>2</w:t>
      </w:r>
      <w:r w:rsidRPr="00612923">
        <w:t xml:space="preserve">: Average Load Impact per Hour for All 2012 Event Days </w:t>
      </w:r>
      <w:r w:rsidRPr="00612923">
        <w:br/>
        <w:t>(Average Dually</w:t>
      </w:r>
      <w:r w:rsidR="00387990" w:rsidRPr="00612923">
        <w:t>-e</w:t>
      </w:r>
      <w:r w:rsidRPr="00612923">
        <w:t>nrolled Participant)</w:t>
      </w:r>
    </w:p>
    <w:p w:rsidR="00FD127A" w:rsidRPr="00612923" w:rsidRDefault="00FD127A" w:rsidP="00FD127A">
      <w:pPr>
        <w:pStyle w:val="BodyParagraph"/>
      </w:pPr>
      <w:r w:rsidRPr="00612923">
        <w:rPr>
          <w:noProof/>
        </w:rPr>
        <w:drawing>
          <wp:inline distT="0" distB="0" distL="0" distR="0">
            <wp:extent cx="8229600" cy="3957880"/>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0" cy="3957880"/>
                    </a:xfrm>
                    <a:prstGeom prst="rect">
                      <a:avLst/>
                    </a:prstGeom>
                    <a:noFill/>
                    <a:ln>
                      <a:noFill/>
                    </a:ln>
                  </pic:spPr>
                </pic:pic>
              </a:graphicData>
            </a:graphic>
          </wp:inline>
        </w:drawing>
      </w:r>
    </w:p>
    <w:p w:rsidR="00FD127A" w:rsidRPr="00612923" w:rsidRDefault="00FD127A" w:rsidP="002E27BD">
      <w:pPr>
        <w:pStyle w:val="BodyParagraph"/>
      </w:pPr>
    </w:p>
    <w:p w:rsidR="00FD127A" w:rsidRPr="00612923" w:rsidRDefault="00FD127A" w:rsidP="002E27BD">
      <w:pPr>
        <w:pStyle w:val="BodyParagraph"/>
      </w:pPr>
    </w:p>
    <w:p w:rsidR="00FD127A" w:rsidRPr="00612923" w:rsidRDefault="00FD127A" w:rsidP="002E27BD">
      <w:pPr>
        <w:pStyle w:val="BodyParagraph"/>
        <w:sectPr w:rsidR="00FD127A" w:rsidRPr="00612923" w:rsidSect="00FD127A">
          <w:headerReference w:type="default" r:id="rId33"/>
          <w:pgSz w:w="15840" w:h="12240" w:orient="landscape"/>
          <w:pgMar w:top="1440" w:right="1440" w:bottom="1440" w:left="1440" w:header="720" w:footer="720" w:gutter="0"/>
          <w:cols w:space="720"/>
          <w:docGrid w:linePitch="360"/>
        </w:sectPr>
      </w:pPr>
    </w:p>
    <w:p w:rsidR="00FD127A" w:rsidRPr="00612923" w:rsidRDefault="00FD127A" w:rsidP="00FD127A">
      <w:pPr>
        <w:pStyle w:val="BodyParaAfterTableFigure"/>
      </w:pPr>
      <w:r w:rsidRPr="00612923">
        <w:lastRenderedPageBreak/>
        <w:t>Table 4-1 summarizes the average load reduction across the five-hour event window provided by residential SmartRate-</w:t>
      </w:r>
      <w:r w:rsidR="00387990" w:rsidRPr="00612923">
        <w:t>o</w:t>
      </w:r>
      <w:r w:rsidRPr="00612923">
        <w:t xml:space="preserve">nly customers on each event day during the summer of 2012.  As shown, the average percentage reduction ranged from a low of 11% on September 14, to a high of 17% on July 11.  An average reduction of 14% was obtained across the 10 event days.  The average load reduction per participant ranged from a low of 0.15 kW to a high of 0.32 kW.  Aggregate average reductions in demand on Smart Days ranged from 5.9 MW to 11.2 MW.  Aggregate load reductions for the summer averaged 7.9 MW per event.  </w:t>
      </w:r>
    </w:p>
    <w:p w:rsidR="00FD127A" w:rsidRPr="00612923" w:rsidRDefault="00FD127A" w:rsidP="00FD127A">
      <w:pPr>
        <w:pStyle w:val="BodyParagraph"/>
      </w:pPr>
      <w:r w:rsidRPr="00612923">
        <w:t xml:space="preserve">Table 4-2 summarizes the average load reduction across the five-hour event window provided by residential dually-enrolled SmartRate customers on each event day during the summer of 2012.  For this group, the average percentage reduction ranged from a low of 23% on July 23 and October 3, to a high of 29% on July 9.  An average reduction of 25% was obtained across the 10 event days.  The average load reduction per participant ranged from a low of 0.35 kW to a high of 0.56 kW.  Aggregate average reductions in demand on Smart Days ranged from 6.6 MW to 12.2 MW.  Aggregate load reductions for the summer averaged 9.2 MW per event.  </w:t>
      </w:r>
    </w:p>
    <w:p w:rsidR="00FD127A" w:rsidRPr="00612923" w:rsidRDefault="00FD127A" w:rsidP="00FD127A">
      <w:pPr>
        <w:pStyle w:val="TableFigureCaption"/>
      </w:pPr>
      <w:r w:rsidRPr="00612923">
        <w:t>Table 4-1: SmartRate-</w:t>
      </w:r>
      <w:r w:rsidR="00387990" w:rsidRPr="00612923">
        <w:t>o</w:t>
      </w:r>
      <w:r w:rsidRPr="00612923">
        <w:t>nly Ex Post Load Impact Estimates</w:t>
      </w:r>
    </w:p>
    <w:tbl>
      <w:tblPr>
        <w:tblW w:w="938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5"/>
        <w:gridCol w:w="1440"/>
        <w:gridCol w:w="1260"/>
        <w:gridCol w:w="1620"/>
        <w:gridCol w:w="1440"/>
        <w:gridCol w:w="1206"/>
        <w:gridCol w:w="1139"/>
      </w:tblGrid>
      <w:tr w:rsidR="00FD127A" w:rsidRPr="00612923" w:rsidTr="00FD127A">
        <w:trPr>
          <w:trHeight w:val="1035"/>
        </w:trPr>
        <w:tc>
          <w:tcPr>
            <w:tcW w:w="1275" w:type="dxa"/>
            <w:tcBorders>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Date</w:t>
            </w:r>
          </w:p>
        </w:tc>
        <w:tc>
          <w:tcPr>
            <w:tcW w:w="144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Enrolled participants</w:t>
            </w:r>
          </w:p>
        </w:tc>
        <w:tc>
          <w:tcPr>
            <w:tcW w:w="126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Avg. Reference Load (kW)</w:t>
            </w:r>
          </w:p>
        </w:tc>
        <w:tc>
          <w:tcPr>
            <w:tcW w:w="162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Avg. Load Reduction (kW)</w:t>
            </w:r>
          </w:p>
        </w:tc>
        <w:tc>
          <w:tcPr>
            <w:tcW w:w="144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Percent Load Reduction (%)</w:t>
            </w:r>
          </w:p>
        </w:tc>
        <w:tc>
          <w:tcPr>
            <w:tcW w:w="1206"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Aggregate Load Reduction (MW)</w:t>
            </w:r>
          </w:p>
        </w:tc>
        <w:tc>
          <w:tcPr>
            <w:tcW w:w="1139" w:type="dxa"/>
            <w:tcBorders>
              <w:lef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Daily Maximum Temp (°F)</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9-Jul-12</w:t>
            </w:r>
          </w:p>
        </w:tc>
        <w:tc>
          <w:tcPr>
            <w:tcW w:w="1440" w:type="dxa"/>
            <w:shd w:val="clear" w:color="000000" w:fill="FFFFFF"/>
            <w:noWrap/>
            <w:vAlign w:val="center"/>
            <w:hideMark/>
          </w:tcPr>
          <w:p w:rsidR="00FD127A" w:rsidRPr="00612923" w:rsidRDefault="00FD127A" w:rsidP="00254844">
            <w:pPr>
              <w:pStyle w:val="TableText"/>
              <w:keepNext/>
            </w:pPr>
            <w:r w:rsidRPr="00612923">
              <w:t>23,194</w:t>
            </w:r>
          </w:p>
        </w:tc>
        <w:tc>
          <w:tcPr>
            <w:tcW w:w="1260" w:type="dxa"/>
            <w:shd w:val="clear" w:color="000000" w:fill="FFFFFF"/>
            <w:noWrap/>
            <w:vAlign w:val="center"/>
            <w:hideMark/>
          </w:tcPr>
          <w:p w:rsidR="00FD127A" w:rsidRPr="00612923" w:rsidRDefault="00FD127A" w:rsidP="00254844">
            <w:pPr>
              <w:pStyle w:val="TableText"/>
              <w:keepNext/>
            </w:pPr>
            <w:r w:rsidRPr="00612923">
              <w:t>1.58</w:t>
            </w:r>
          </w:p>
        </w:tc>
        <w:tc>
          <w:tcPr>
            <w:tcW w:w="1620" w:type="dxa"/>
            <w:shd w:val="clear" w:color="000000" w:fill="FFFFFF"/>
            <w:noWrap/>
            <w:vAlign w:val="center"/>
            <w:hideMark/>
          </w:tcPr>
          <w:p w:rsidR="00FD127A" w:rsidRPr="00612923" w:rsidRDefault="00FD127A" w:rsidP="00254844">
            <w:pPr>
              <w:pStyle w:val="TableText"/>
              <w:keepNext/>
            </w:pPr>
            <w:r w:rsidRPr="00612923">
              <w:t>0.26</w:t>
            </w:r>
          </w:p>
        </w:tc>
        <w:tc>
          <w:tcPr>
            <w:tcW w:w="1440" w:type="dxa"/>
            <w:shd w:val="clear" w:color="000000" w:fill="FFFFFF"/>
            <w:noWrap/>
            <w:vAlign w:val="center"/>
            <w:hideMark/>
          </w:tcPr>
          <w:p w:rsidR="00FD127A" w:rsidRPr="00612923" w:rsidRDefault="00FD127A" w:rsidP="00254844">
            <w:pPr>
              <w:pStyle w:val="TableText"/>
              <w:keepNext/>
            </w:pPr>
            <w:r w:rsidRPr="00612923">
              <w:t>16%</w:t>
            </w:r>
          </w:p>
        </w:tc>
        <w:tc>
          <w:tcPr>
            <w:tcW w:w="1206" w:type="dxa"/>
            <w:shd w:val="clear" w:color="000000" w:fill="FFFFFF"/>
            <w:noWrap/>
            <w:vAlign w:val="center"/>
            <w:hideMark/>
          </w:tcPr>
          <w:p w:rsidR="00FD127A" w:rsidRPr="00612923" w:rsidRDefault="00FD127A" w:rsidP="00254844">
            <w:pPr>
              <w:pStyle w:val="TableText"/>
              <w:keepNext/>
            </w:pPr>
            <w:r w:rsidRPr="00612923">
              <w:t>5.9</w:t>
            </w:r>
          </w:p>
        </w:tc>
        <w:tc>
          <w:tcPr>
            <w:tcW w:w="1139" w:type="dxa"/>
            <w:shd w:val="clear" w:color="000000" w:fill="FFFFFF"/>
            <w:noWrap/>
            <w:vAlign w:val="center"/>
            <w:hideMark/>
          </w:tcPr>
          <w:p w:rsidR="00FD127A" w:rsidRPr="00612923" w:rsidRDefault="00FD127A" w:rsidP="00254844">
            <w:pPr>
              <w:pStyle w:val="TableText"/>
              <w:keepNext/>
            </w:pPr>
            <w:r w:rsidRPr="00612923">
              <w:t>88</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10-Jul-12</w:t>
            </w:r>
          </w:p>
        </w:tc>
        <w:tc>
          <w:tcPr>
            <w:tcW w:w="1440" w:type="dxa"/>
            <w:shd w:val="clear" w:color="000000" w:fill="FFFFFF"/>
            <w:noWrap/>
            <w:vAlign w:val="center"/>
            <w:hideMark/>
          </w:tcPr>
          <w:p w:rsidR="00FD127A" w:rsidRPr="00612923" w:rsidRDefault="00FD127A" w:rsidP="00254844">
            <w:pPr>
              <w:pStyle w:val="TableText"/>
              <w:keepNext/>
            </w:pPr>
            <w:r w:rsidRPr="00612923">
              <w:t>23,902</w:t>
            </w:r>
          </w:p>
        </w:tc>
        <w:tc>
          <w:tcPr>
            <w:tcW w:w="1260" w:type="dxa"/>
            <w:shd w:val="clear" w:color="000000" w:fill="FFFFFF"/>
            <w:noWrap/>
            <w:vAlign w:val="center"/>
            <w:hideMark/>
          </w:tcPr>
          <w:p w:rsidR="00FD127A" w:rsidRPr="00612923" w:rsidRDefault="00FD127A" w:rsidP="00254844">
            <w:pPr>
              <w:pStyle w:val="TableText"/>
              <w:keepNext/>
            </w:pPr>
            <w:r w:rsidRPr="00612923">
              <w:t>1.71</w:t>
            </w:r>
          </w:p>
        </w:tc>
        <w:tc>
          <w:tcPr>
            <w:tcW w:w="1620" w:type="dxa"/>
            <w:shd w:val="clear" w:color="000000" w:fill="FFFFFF"/>
            <w:noWrap/>
            <w:vAlign w:val="center"/>
            <w:hideMark/>
          </w:tcPr>
          <w:p w:rsidR="00FD127A" w:rsidRPr="00612923" w:rsidRDefault="00FD127A" w:rsidP="00254844">
            <w:pPr>
              <w:pStyle w:val="TableText"/>
              <w:keepNext/>
            </w:pPr>
            <w:r w:rsidRPr="00612923">
              <w:t>0.27</w:t>
            </w:r>
          </w:p>
        </w:tc>
        <w:tc>
          <w:tcPr>
            <w:tcW w:w="1440" w:type="dxa"/>
            <w:shd w:val="clear" w:color="000000" w:fill="FFFFFF"/>
            <w:noWrap/>
            <w:vAlign w:val="center"/>
            <w:hideMark/>
          </w:tcPr>
          <w:p w:rsidR="00FD127A" w:rsidRPr="00612923" w:rsidRDefault="00FD127A" w:rsidP="00254844">
            <w:pPr>
              <w:pStyle w:val="TableText"/>
              <w:keepNext/>
            </w:pPr>
            <w:r w:rsidRPr="00612923">
              <w:t>16%</w:t>
            </w:r>
          </w:p>
        </w:tc>
        <w:tc>
          <w:tcPr>
            <w:tcW w:w="1206" w:type="dxa"/>
            <w:shd w:val="clear" w:color="000000" w:fill="FFFFFF"/>
            <w:noWrap/>
            <w:vAlign w:val="center"/>
            <w:hideMark/>
          </w:tcPr>
          <w:p w:rsidR="00FD127A" w:rsidRPr="00612923" w:rsidRDefault="00FD127A" w:rsidP="00254844">
            <w:pPr>
              <w:pStyle w:val="TableText"/>
              <w:keepNext/>
            </w:pPr>
            <w:r w:rsidRPr="00612923">
              <w:t>6.3</w:t>
            </w:r>
          </w:p>
        </w:tc>
        <w:tc>
          <w:tcPr>
            <w:tcW w:w="1139" w:type="dxa"/>
            <w:shd w:val="clear" w:color="000000" w:fill="FFFFFF"/>
            <w:noWrap/>
            <w:vAlign w:val="center"/>
            <w:hideMark/>
          </w:tcPr>
          <w:p w:rsidR="00FD127A" w:rsidRPr="00612923" w:rsidRDefault="00FD127A" w:rsidP="00254844">
            <w:pPr>
              <w:pStyle w:val="TableText"/>
              <w:keepNext/>
            </w:pPr>
            <w:r w:rsidRPr="00612923">
              <w:t>94</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11-Jul-12</w:t>
            </w:r>
          </w:p>
        </w:tc>
        <w:tc>
          <w:tcPr>
            <w:tcW w:w="1440" w:type="dxa"/>
            <w:shd w:val="clear" w:color="000000" w:fill="FFFFFF"/>
            <w:noWrap/>
            <w:vAlign w:val="center"/>
            <w:hideMark/>
          </w:tcPr>
          <w:p w:rsidR="00FD127A" w:rsidRPr="00612923" w:rsidRDefault="00FD127A" w:rsidP="00254844">
            <w:pPr>
              <w:pStyle w:val="TableText"/>
              <w:keepNext/>
            </w:pPr>
            <w:r w:rsidRPr="00612923">
              <w:t>24,819</w:t>
            </w:r>
          </w:p>
        </w:tc>
        <w:tc>
          <w:tcPr>
            <w:tcW w:w="1260" w:type="dxa"/>
            <w:shd w:val="clear" w:color="000000" w:fill="FFFFFF"/>
            <w:noWrap/>
            <w:vAlign w:val="center"/>
            <w:hideMark/>
          </w:tcPr>
          <w:p w:rsidR="00FD127A" w:rsidRPr="00612923" w:rsidRDefault="00FD127A" w:rsidP="00254844">
            <w:pPr>
              <w:pStyle w:val="TableText"/>
              <w:keepNext/>
            </w:pPr>
            <w:r w:rsidRPr="00612923">
              <w:t>1.87</w:t>
            </w:r>
          </w:p>
        </w:tc>
        <w:tc>
          <w:tcPr>
            <w:tcW w:w="1620" w:type="dxa"/>
            <w:shd w:val="clear" w:color="000000" w:fill="FFFFFF"/>
            <w:noWrap/>
            <w:vAlign w:val="center"/>
            <w:hideMark/>
          </w:tcPr>
          <w:p w:rsidR="00FD127A" w:rsidRPr="00612923" w:rsidRDefault="00FD127A" w:rsidP="00254844">
            <w:pPr>
              <w:pStyle w:val="TableText"/>
              <w:keepNext/>
            </w:pPr>
            <w:r w:rsidRPr="00612923">
              <w:t>0.32</w:t>
            </w:r>
          </w:p>
        </w:tc>
        <w:tc>
          <w:tcPr>
            <w:tcW w:w="1440" w:type="dxa"/>
            <w:shd w:val="clear" w:color="000000" w:fill="FFFFFF"/>
            <w:noWrap/>
            <w:vAlign w:val="center"/>
            <w:hideMark/>
          </w:tcPr>
          <w:p w:rsidR="00FD127A" w:rsidRPr="00612923" w:rsidRDefault="00FD127A" w:rsidP="00254844">
            <w:pPr>
              <w:pStyle w:val="TableText"/>
              <w:keepNext/>
            </w:pPr>
            <w:r w:rsidRPr="00612923">
              <w:t>17%</w:t>
            </w:r>
          </w:p>
        </w:tc>
        <w:tc>
          <w:tcPr>
            <w:tcW w:w="1206" w:type="dxa"/>
            <w:shd w:val="clear" w:color="000000" w:fill="FFFFFF"/>
            <w:noWrap/>
            <w:vAlign w:val="center"/>
            <w:hideMark/>
          </w:tcPr>
          <w:p w:rsidR="00FD127A" w:rsidRPr="00612923" w:rsidRDefault="00FD127A" w:rsidP="00254844">
            <w:pPr>
              <w:pStyle w:val="TableText"/>
              <w:keepNext/>
            </w:pPr>
            <w:r w:rsidRPr="00612923">
              <w:t>7.8</w:t>
            </w:r>
          </w:p>
        </w:tc>
        <w:tc>
          <w:tcPr>
            <w:tcW w:w="1139" w:type="dxa"/>
            <w:shd w:val="clear" w:color="000000" w:fill="FFFFFF"/>
            <w:noWrap/>
            <w:vAlign w:val="center"/>
            <w:hideMark/>
          </w:tcPr>
          <w:p w:rsidR="00FD127A" w:rsidRPr="00612923" w:rsidRDefault="00FD127A" w:rsidP="00254844">
            <w:pPr>
              <w:pStyle w:val="TableText"/>
              <w:keepNext/>
            </w:pPr>
            <w:r w:rsidRPr="00612923">
              <w:t>96</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4-Sep-12</w:t>
            </w:r>
          </w:p>
        </w:tc>
        <w:tc>
          <w:tcPr>
            <w:tcW w:w="1440" w:type="dxa"/>
            <w:shd w:val="clear" w:color="000000" w:fill="FFFFFF"/>
            <w:noWrap/>
            <w:vAlign w:val="center"/>
            <w:hideMark/>
          </w:tcPr>
          <w:p w:rsidR="00FD127A" w:rsidRPr="00612923" w:rsidRDefault="00FD127A" w:rsidP="00254844">
            <w:pPr>
              <w:pStyle w:val="TableText"/>
              <w:keepNext/>
            </w:pPr>
            <w:r w:rsidRPr="00612923">
              <w:t>41,273</w:t>
            </w:r>
          </w:p>
        </w:tc>
        <w:tc>
          <w:tcPr>
            <w:tcW w:w="1260" w:type="dxa"/>
            <w:shd w:val="clear" w:color="000000" w:fill="FFFFFF"/>
            <w:noWrap/>
            <w:vAlign w:val="center"/>
            <w:hideMark/>
          </w:tcPr>
          <w:p w:rsidR="00FD127A" w:rsidRPr="00612923" w:rsidRDefault="00FD127A" w:rsidP="00254844">
            <w:pPr>
              <w:pStyle w:val="TableText"/>
              <w:keepNext/>
            </w:pPr>
            <w:r w:rsidRPr="00612923">
              <w:t>1.32</w:t>
            </w:r>
          </w:p>
        </w:tc>
        <w:tc>
          <w:tcPr>
            <w:tcW w:w="1620" w:type="dxa"/>
            <w:shd w:val="clear" w:color="000000" w:fill="FFFFFF"/>
            <w:noWrap/>
            <w:vAlign w:val="center"/>
            <w:hideMark/>
          </w:tcPr>
          <w:p w:rsidR="00FD127A" w:rsidRPr="00612923" w:rsidRDefault="00FD127A" w:rsidP="00254844">
            <w:pPr>
              <w:pStyle w:val="TableText"/>
              <w:keepNext/>
            </w:pPr>
            <w:r w:rsidRPr="00612923">
              <w:t>0.18</w:t>
            </w:r>
          </w:p>
        </w:tc>
        <w:tc>
          <w:tcPr>
            <w:tcW w:w="1440" w:type="dxa"/>
            <w:shd w:val="clear" w:color="000000" w:fill="FFFFFF"/>
            <w:noWrap/>
            <w:vAlign w:val="center"/>
            <w:hideMark/>
          </w:tcPr>
          <w:p w:rsidR="00FD127A" w:rsidRPr="00612923" w:rsidRDefault="00FD127A" w:rsidP="00254844">
            <w:pPr>
              <w:pStyle w:val="TableText"/>
              <w:keepNext/>
            </w:pPr>
            <w:r w:rsidRPr="00612923">
              <w:t>13%</w:t>
            </w:r>
          </w:p>
        </w:tc>
        <w:tc>
          <w:tcPr>
            <w:tcW w:w="1206" w:type="dxa"/>
            <w:shd w:val="clear" w:color="000000" w:fill="FFFFFF"/>
            <w:noWrap/>
            <w:vAlign w:val="center"/>
            <w:hideMark/>
          </w:tcPr>
          <w:p w:rsidR="00FD127A" w:rsidRPr="00612923" w:rsidRDefault="00FD127A" w:rsidP="00254844">
            <w:pPr>
              <w:pStyle w:val="TableText"/>
              <w:keepNext/>
            </w:pPr>
            <w:r w:rsidRPr="00612923">
              <w:t>7.3</w:t>
            </w:r>
          </w:p>
        </w:tc>
        <w:tc>
          <w:tcPr>
            <w:tcW w:w="1139" w:type="dxa"/>
            <w:shd w:val="clear" w:color="000000" w:fill="FFFFFF"/>
            <w:noWrap/>
            <w:vAlign w:val="center"/>
            <w:hideMark/>
          </w:tcPr>
          <w:p w:rsidR="00FD127A" w:rsidRPr="00612923" w:rsidRDefault="00FD127A" w:rsidP="00254844">
            <w:pPr>
              <w:pStyle w:val="TableText"/>
              <w:keepNext/>
            </w:pPr>
            <w:r w:rsidRPr="00612923">
              <w:t>86</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13-Sep-12</w:t>
            </w:r>
          </w:p>
        </w:tc>
        <w:tc>
          <w:tcPr>
            <w:tcW w:w="1440" w:type="dxa"/>
            <w:shd w:val="clear" w:color="000000" w:fill="FFFFFF"/>
            <w:noWrap/>
            <w:vAlign w:val="center"/>
            <w:hideMark/>
          </w:tcPr>
          <w:p w:rsidR="00FD127A" w:rsidRPr="00612923" w:rsidRDefault="00FD127A" w:rsidP="00254844">
            <w:pPr>
              <w:pStyle w:val="TableText"/>
              <w:keepNext/>
            </w:pPr>
            <w:r w:rsidRPr="00612923">
              <w:t>45,057</w:t>
            </w:r>
          </w:p>
        </w:tc>
        <w:tc>
          <w:tcPr>
            <w:tcW w:w="1260" w:type="dxa"/>
            <w:shd w:val="clear" w:color="000000" w:fill="FFFFFF"/>
            <w:noWrap/>
            <w:vAlign w:val="center"/>
            <w:hideMark/>
          </w:tcPr>
          <w:p w:rsidR="00FD127A" w:rsidRPr="00612923" w:rsidRDefault="00FD127A" w:rsidP="00254844">
            <w:pPr>
              <w:pStyle w:val="TableText"/>
              <w:keepNext/>
            </w:pPr>
            <w:r w:rsidRPr="00612923">
              <w:t>1.34</w:t>
            </w:r>
          </w:p>
        </w:tc>
        <w:tc>
          <w:tcPr>
            <w:tcW w:w="1620" w:type="dxa"/>
            <w:shd w:val="clear" w:color="000000" w:fill="FFFFFF"/>
            <w:noWrap/>
            <w:vAlign w:val="center"/>
            <w:hideMark/>
          </w:tcPr>
          <w:p w:rsidR="00FD127A" w:rsidRPr="00612923" w:rsidRDefault="00FD127A" w:rsidP="00254844">
            <w:pPr>
              <w:pStyle w:val="TableText"/>
              <w:keepNext/>
            </w:pPr>
            <w:r w:rsidRPr="00612923">
              <w:t>0.16</w:t>
            </w:r>
          </w:p>
        </w:tc>
        <w:tc>
          <w:tcPr>
            <w:tcW w:w="1440" w:type="dxa"/>
            <w:shd w:val="clear" w:color="000000" w:fill="FFFFFF"/>
            <w:noWrap/>
            <w:vAlign w:val="center"/>
            <w:hideMark/>
          </w:tcPr>
          <w:p w:rsidR="00FD127A" w:rsidRPr="00612923" w:rsidRDefault="00FD127A" w:rsidP="00254844">
            <w:pPr>
              <w:pStyle w:val="TableText"/>
              <w:keepNext/>
            </w:pPr>
            <w:r w:rsidRPr="00612923">
              <w:t>12%</w:t>
            </w:r>
          </w:p>
        </w:tc>
        <w:tc>
          <w:tcPr>
            <w:tcW w:w="1206" w:type="dxa"/>
            <w:shd w:val="clear" w:color="000000" w:fill="FFFFFF"/>
            <w:noWrap/>
            <w:vAlign w:val="center"/>
            <w:hideMark/>
          </w:tcPr>
          <w:p w:rsidR="00FD127A" w:rsidRPr="00612923" w:rsidRDefault="00FD127A" w:rsidP="00254844">
            <w:pPr>
              <w:pStyle w:val="TableText"/>
              <w:keepNext/>
            </w:pPr>
            <w:r w:rsidRPr="00612923">
              <w:t>7.4</w:t>
            </w:r>
          </w:p>
        </w:tc>
        <w:tc>
          <w:tcPr>
            <w:tcW w:w="1139" w:type="dxa"/>
            <w:shd w:val="clear" w:color="000000" w:fill="FFFFFF"/>
            <w:noWrap/>
            <w:vAlign w:val="center"/>
            <w:hideMark/>
          </w:tcPr>
          <w:p w:rsidR="00FD127A" w:rsidRPr="00612923" w:rsidRDefault="00FD127A" w:rsidP="00254844">
            <w:pPr>
              <w:pStyle w:val="TableText"/>
              <w:keepNext/>
            </w:pPr>
            <w:r w:rsidRPr="00612923">
              <w:t>87</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14-Sep-12</w:t>
            </w:r>
          </w:p>
        </w:tc>
        <w:tc>
          <w:tcPr>
            <w:tcW w:w="1440" w:type="dxa"/>
            <w:shd w:val="clear" w:color="000000" w:fill="FFFFFF"/>
            <w:noWrap/>
            <w:vAlign w:val="center"/>
            <w:hideMark/>
          </w:tcPr>
          <w:p w:rsidR="00FD127A" w:rsidRPr="00612923" w:rsidRDefault="00FD127A" w:rsidP="00254844">
            <w:pPr>
              <w:pStyle w:val="TableText"/>
              <w:keepNext/>
            </w:pPr>
            <w:r w:rsidRPr="00612923">
              <w:t>45,508</w:t>
            </w:r>
          </w:p>
        </w:tc>
        <w:tc>
          <w:tcPr>
            <w:tcW w:w="1260" w:type="dxa"/>
            <w:shd w:val="clear" w:color="000000" w:fill="FFFFFF"/>
            <w:noWrap/>
            <w:vAlign w:val="center"/>
            <w:hideMark/>
          </w:tcPr>
          <w:p w:rsidR="00FD127A" w:rsidRPr="00612923" w:rsidRDefault="00FD127A" w:rsidP="00254844">
            <w:pPr>
              <w:pStyle w:val="TableText"/>
              <w:keepNext/>
            </w:pPr>
            <w:r w:rsidRPr="00612923">
              <w:t>1.36</w:t>
            </w:r>
          </w:p>
        </w:tc>
        <w:tc>
          <w:tcPr>
            <w:tcW w:w="1620" w:type="dxa"/>
            <w:shd w:val="clear" w:color="000000" w:fill="FFFFFF"/>
            <w:noWrap/>
            <w:vAlign w:val="center"/>
            <w:hideMark/>
          </w:tcPr>
          <w:p w:rsidR="00FD127A" w:rsidRPr="00612923" w:rsidRDefault="00FD127A" w:rsidP="00254844">
            <w:pPr>
              <w:pStyle w:val="TableText"/>
              <w:keepNext/>
            </w:pPr>
            <w:r w:rsidRPr="00612923">
              <w:t>0.15</w:t>
            </w:r>
          </w:p>
        </w:tc>
        <w:tc>
          <w:tcPr>
            <w:tcW w:w="1440" w:type="dxa"/>
            <w:shd w:val="clear" w:color="000000" w:fill="FFFFFF"/>
            <w:noWrap/>
            <w:vAlign w:val="center"/>
            <w:hideMark/>
          </w:tcPr>
          <w:p w:rsidR="00FD127A" w:rsidRPr="00612923" w:rsidRDefault="00FD127A" w:rsidP="00254844">
            <w:pPr>
              <w:pStyle w:val="TableText"/>
              <w:keepNext/>
            </w:pPr>
            <w:r w:rsidRPr="00612923">
              <w:t>11%</w:t>
            </w:r>
          </w:p>
        </w:tc>
        <w:tc>
          <w:tcPr>
            <w:tcW w:w="1206" w:type="dxa"/>
            <w:shd w:val="clear" w:color="000000" w:fill="FFFFFF"/>
            <w:noWrap/>
            <w:vAlign w:val="center"/>
            <w:hideMark/>
          </w:tcPr>
          <w:p w:rsidR="00FD127A" w:rsidRPr="00612923" w:rsidRDefault="00FD127A" w:rsidP="00254844">
            <w:pPr>
              <w:pStyle w:val="TableText"/>
              <w:keepNext/>
            </w:pPr>
            <w:r w:rsidRPr="00612923">
              <w:t>6.8</w:t>
            </w:r>
          </w:p>
        </w:tc>
        <w:tc>
          <w:tcPr>
            <w:tcW w:w="1139" w:type="dxa"/>
            <w:shd w:val="clear" w:color="000000" w:fill="FFFFFF"/>
            <w:noWrap/>
            <w:vAlign w:val="center"/>
            <w:hideMark/>
          </w:tcPr>
          <w:p w:rsidR="00FD127A" w:rsidRPr="00612923" w:rsidRDefault="00FD127A" w:rsidP="00254844">
            <w:pPr>
              <w:pStyle w:val="TableText"/>
              <w:keepNext/>
            </w:pPr>
            <w:r w:rsidRPr="00612923">
              <w:t>86</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23-Jul-12</w:t>
            </w:r>
          </w:p>
        </w:tc>
        <w:tc>
          <w:tcPr>
            <w:tcW w:w="1440" w:type="dxa"/>
            <w:shd w:val="clear" w:color="000000" w:fill="FFFFFF"/>
            <w:noWrap/>
            <w:vAlign w:val="center"/>
            <w:hideMark/>
          </w:tcPr>
          <w:p w:rsidR="00FD127A" w:rsidRPr="00612923" w:rsidRDefault="00FD127A" w:rsidP="00254844">
            <w:pPr>
              <w:pStyle w:val="TableText"/>
              <w:keepNext/>
            </w:pPr>
            <w:r w:rsidRPr="00612923">
              <w:t>30,792</w:t>
            </w:r>
          </w:p>
        </w:tc>
        <w:tc>
          <w:tcPr>
            <w:tcW w:w="1260" w:type="dxa"/>
            <w:shd w:val="clear" w:color="000000" w:fill="FFFFFF"/>
            <w:noWrap/>
            <w:vAlign w:val="center"/>
            <w:hideMark/>
          </w:tcPr>
          <w:p w:rsidR="00FD127A" w:rsidRPr="00612923" w:rsidRDefault="00FD127A" w:rsidP="00254844">
            <w:pPr>
              <w:pStyle w:val="TableText"/>
              <w:keepNext/>
            </w:pPr>
            <w:r w:rsidRPr="00612923">
              <w:t>1.58</w:t>
            </w:r>
          </w:p>
        </w:tc>
        <w:tc>
          <w:tcPr>
            <w:tcW w:w="1620" w:type="dxa"/>
            <w:shd w:val="clear" w:color="000000" w:fill="FFFFFF"/>
            <w:noWrap/>
            <w:vAlign w:val="center"/>
            <w:hideMark/>
          </w:tcPr>
          <w:p w:rsidR="00FD127A" w:rsidRPr="00612923" w:rsidRDefault="00FD127A" w:rsidP="00254844">
            <w:pPr>
              <w:pStyle w:val="TableText"/>
              <w:keepNext/>
            </w:pPr>
            <w:r w:rsidRPr="00612923">
              <w:t>0.25</w:t>
            </w:r>
          </w:p>
        </w:tc>
        <w:tc>
          <w:tcPr>
            <w:tcW w:w="1440" w:type="dxa"/>
            <w:shd w:val="clear" w:color="000000" w:fill="FFFFFF"/>
            <w:noWrap/>
            <w:vAlign w:val="center"/>
            <w:hideMark/>
          </w:tcPr>
          <w:p w:rsidR="00FD127A" w:rsidRPr="00612923" w:rsidRDefault="00FD127A" w:rsidP="00254844">
            <w:pPr>
              <w:pStyle w:val="TableText"/>
              <w:keepNext/>
            </w:pPr>
            <w:r w:rsidRPr="00612923">
              <w:t>16%</w:t>
            </w:r>
          </w:p>
        </w:tc>
        <w:tc>
          <w:tcPr>
            <w:tcW w:w="1206" w:type="dxa"/>
            <w:shd w:val="clear" w:color="000000" w:fill="FFFFFF"/>
            <w:noWrap/>
            <w:vAlign w:val="center"/>
            <w:hideMark/>
          </w:tcPr>
          <w:p w:rsidR="00FD127A" w:rsidRPr="00612923" w:rsidRDefault="00FD127A" w:rsidP="00254844">
            <w:pPr>
              <w:pStyle w:val="TableText"/>
              <w:keepNext/>
            </w:pPr>
            <w:r w:rsidRPr="00612923">
              <w:t>7.5</w:t>
            </w:r>
          </w:p>
        </w:tc>
        <w:tc>
          <w:tcPr>
            <w:tcW w:w="1139" w:type="dxa"/>
            <w:shd w:val="clear" w:color="000000" w:fill="FFFFFF"/>
            <w:noWrap/>
            <w:vAlign w:val="center"/>
            <w:hideMark/>
          </w:tcPr>
          <w:p w:rsidR="00FD127A" w:rsidRPr="00612923" w:rsidRDefault="00FD127A" w:rsidP="00254844">
            <w:pPr>
              <w:pStyle w:val="TableText"/>
              <w:keepNext/>
            </w:pPr>
            <w:r w:rsidRPr="00612923">
              <w:t>88</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1-Oct-12</w:t>
            </w:r>
          </w:p>
        </w:tc>
        <w:tc>
          <w:tcPr>
            <w:tcW w:w="1440" w:type="dxa"/>
            <w:shd w:val="clear" w:color="000000" w:fill="FFFFFF"/>
            <w:noWrap/>
            <w:vAlign w:val="center"/>
            <w:hideMark/>
          </w:tcPr>
          <w:p w:rsidR="00FD127A" w:rsidRPr="00612923" w:rsidRDefault="00FD127A" w:rsidP="00254844">
            <w:pPr>
              <w:pStyle w:val="TableText"/>
              <w:keepNext/>
            </w:pPr>
            <w:r w:rsidRPr="00612923">
              <w:t>50,464</w:t>
            </w:r>
          </w:p>
        </w:tc>
        <w:tc>
          <w:tcPr>
            <w:tcW w:w="1260" w:type="dxa"/>
            <w:shd w:val="clear" w:color="000000" w:fill="FFFFFF"/>
            <w:noWrap/>
            <w:vAlign w:val="center"/>
            <w:hideMark/>
          </w:tcPr>
          <w:p w:rsidR="00FD127A" w:rsidRPr="00612923" w:rsidRDefault="00FD127A" w:rsidP="00254844">
            <w:pPr>
              <w:pStyle w:val="TableText"/>
              <w:keepNext/>
            </w:pPr>
            <w:r w:rsidRPr="00612923">
              <w:t>1.36</w:t>
            </w:r>
          </w:p>
        </w:tc>
        <w:tc>
          <w:tcPr>
            <w:tcW w:w="1620" w:type="dxa"/>
            <w:shd w:val="clear" w:color="000000" w:fill="FFFFFF"/>
            <w:noWrap/>
            <w:vAlign w:val="center"/>
            <w:hideMark/>
          </w:tcPr>
          <w:p w:rsidR="00FD127A" w:rsidRPr="00612923" w:rsidRDefault="00FD127A" w:rsidP="00254844">
            <w:pPr>
              <w:pStyle w:val="TableText"/>
              <w:keepNext/>
            </w:pPr>
            <w:r w:rsidRPr="00612923">
              <w:t>0.22</w:t>
            </w:r>
          </w:p>
        </w:tc>
        <w:tc>
          <w:tcPr>
            <w:tcW w:w="1440" w:type="dxa"/>
            <w:shd w:val="clear" w:color="000000" w:fill="FFFFFF"/>
            <w:noWrap/>
            <w:vAlign w:val="center"/>
            <w:hideMark/>
          </w:tcPr>
          <w:p w:rsidR="00FD127A" w:rsidRPr="00612923" w:rsidRDefault="00FD127A" w:rsidP="00254844">
            <w:pPr>
              <w:pStyle w:val="TableText"/>
              <w:keepNext/>
            </w:pPr>
            <w:r w:rsidRPr="00612923">
              <w:t>16%</w:t>
            </w:r>
          </w:p>
        </w:tc>
        <w:tc>
          <w:tcPr>
            <w:tcW w:w="1206" w:type="dxa"/>
            <w:shd w:val="clear" w:color="000000" w:fill="FFFFFF"/>
            <w:noWrap/>
            <w:vAlign w:val="center"/>
            <w:hideMark/>
          </w:tcPr>
          <w:p w:rsidR="00FD127A" w:rsidRPr="00612923" w:rsidRDefault="00FD127A" w:rsidP="00254844">
            <w:pPr>
              <w:pStyle w:val="TableText"/>
              <w:keepNext/>
            </w:pPr>
            <w:r w:rsidRPr="00612923">
              <w:t>11.2</w:t>
            </w:r>
          </w:p>
        </w:tc>
        <w:tc>
          <w:tcPr>
            <w:tcW w:w="1139" w:type="dxa"/>
            <w:shd w:val="clear" w:color="000000" w:fill="FFFFFF"/>
            <w:noWrap/>
            <w:vAlign w:val="center"/>
            <w:hideMark/>
          </w:tcPr>
          <w:p w:rsidR="00FD127A" w:rsidRPr="00612923" w:rsidRDefault="00FD127A" w:rsidP="00254844">
            <w:pPr>
              <w:pStyle w:val="TableText"/>
              <w:keepNext/>
            </w:pPr>
            <w:r w:rsidRPr="00612923">
              <w:t>95</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2-Oct-12</w:t>
            </w:r>
          </w:p>
        </w:tc>
        <w:tc>
          <w:tcPr>
            <w:tcW w:w="1440" w:type="dxa"/>
            <w:shd w:val="clear" w:color="000000" w:fill="FFFFFF"/>
            <w:noWrap/>
            <w:vAlign w:val="center"/>
            <w:hideMark/>
          </w:tcPr>
          <w:p w:rsidR="00FD127A" w:rsidRPr="00612923" w:rsidRDefault="00FD127A" w:rsidP="00254844">
            <w:pPr>
              <w:pStyle w:val="TableText"/>
              <w:keepNext/>
            </w:pPr>
            <w:r w:rsidRPr="00612923">
              <w:t>50,715</w:t>
            </w:r>
          </w:p>
        </w:tc>
        <w:tc>
          <w:tcPr>
            <w:tcW w:w="1260" w:type="dxa"/>
            <w:shd w:val="clear" w:color="000000" w:fill="FFFFFF"/>
            <w:noWrap/>
            <w:vAlign w:val="center"/>
            <w:hideMark/>
          </w:tcPr>
          <w:p w:rsidR="00FD127A" w:rsidRPr="00612923" w:rsidRDefault="00FD127A" w:rsidP="00254844">
            <w:pPr>
              <w:pStyle w:val="TableText"/>
              <w:keepNext/>
            </w:pPr>
            <w:r w:rsidRPr="00612923">
              <w:t>1.40</w:t>
            </w:r>
          </w:p>
        </w:tc>
        <w:tc>
          <w:tcPr>
            <w:tcW w:w="1620" w:type="dxa"/>
            <w:shd w:val="clear" w:color="000000" w:fill="FFFFFF"/>
            <w:noWrap/>
            <w:vAlign w:val="center"/>
            <w:hideMark/>
          </w:tcPr>
          <w:p w:rsidR="00FD127A" w:rsidRPr="00612923" w:rsidRDefault="00FD127A" w:rsidP="00254844">
            <w:pPr>
              <w:pStyle w:val="TableText"/>
              <w:keepNext/>
            </w:pPr>
            <w:r w:rsidRPr="00612923">
              <w:t>0.21</w:t>
            </w:r>
          </w:p>
        </w:tc>
        <w:tc>
          <w:tcPr>
            <w:tcW w:w="1440" w:type="dxa"/>
            <w:shd w:val="clear" w:color="000000" w:fill="FFFFFF"/>
            <w:noWrap/>
            <w:vAlign w:val="center"/>
            <w:hideMark/>
          </w:tcPr>
          <w:p w:rsidR="00FD127A" w:rsidRPr="00612923" w:rsidRDefault="00FD127A" w:rsidP="00254844">
            <w:pPr>
              <w:pStyle w:val="TableText"/>
              <w:keepNext/>
            </w:pPr>
            <w:r w:rsidRPr="00612923">
              <w:t>15%</w:t>
            </w:r>
          </w:p>
        </w:tc>
        <w:tc>
          <w:tcPr>
            <w:tcW w:w="1206" w:type="dxa"/>
            <w:shd w:val="clear" w:color="000000" w:fill="FFFFFF"/>
            <w:noWrap/>
            <w:vAlign w:val="center"/>
            <w:hideMark/>
          </w:tcPr>
          <w:p w:rsidR="00FD127A" w:rsidRPr="00612923" w:rsidRDefault="00FD127A" w:rsidP="00254844">
            <w:pPr>
              <w:pStyle w:val="TableText"/>
              <w:keepNext/>
            </w:pPr>
            <w:r w:rsidRPr="00612923">
              <w:t>10.5</w:t>
            </w:r>
          </w:p>
        </w:tc>
        <w:tc>
          <w:tcPr>
            <w:tcW w:w="1139" w:type="dxa"/>
            <w:shd w:val="clear" w:color="000000" w:fill="FFFFFF"/>
            <w:noWrap/>
            <w:vAlign w:val="center"/>
            <w:hideMark/>
          </w:tcPr>
          <w:p w:rsidR="00FD127A" w:rsidRPr="00612923" w:rsidRDefault="00FD127A" w:rsidP="00254844">
            <w:pPr>
              <w:pStyle w:val="TableText"/>
              <w:keepNext/>
            </w:pPr>
            <w:r w:rsidRPr="00612923">
              <w:t>96</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3-Oct-12</w:t>
            </w:r>
          </w:p>
        </w:tc>
        <w:tc>
          <w:tcPr>
            <w:tcW w:w="1440" w:type="dxa"/>
            <w:shd w:val="clear" w:color="000000" w:fill="FFFFFF"/>
            <w:noWrap/>
            <w:vAlign w:val="center"/>
            <w:hideMark/>
          </w:tcPr>
          <w:p w:rsidR="00FD127A" w:rsidRPr="00612923" w:rsidRDefault="00FD127A" w:rsidP="00254844">
            <w:pPr>
              <w:pStyle w:val="TableText"/>
              <w:keepNext/>
            </w:pPr>
            <w:r w:rsidRPr="00612923">
              <w:t>50,941</w:t>
            </w:r>
          </w:p>
        </w:tc>
        <w:tc>
          <w:tcPr>
            <w:tcW w:w="1260" w:type="dxa"/>
            <w:shd w:val="clear" w:color="000000" w:fill="FFFFFF"/>
            <w:noWrap/>
            <w:vAlign w:val="center"/>
            <w:hideMark/>
          </w:tcPr>
          <w:p w:rsidR="00FD127A" w:rsidRPr="00612923" w:rsidRDefault="00FD127A" w:rsidP="00254844">
            <w:pPr>
              <w:pStyle w:val="TableText"/>
              <w:keepNext/>
            </w:pPr>
            <w:r w:rsidRPr="00612923">
              <w:t>1.30</w:t>
            </w:r>
          </w:p>
        </w:tc>
        <w:tc>
          <w:tcPr>
            <w:tcW w:w="1620" w:type="dxa"/>
            <w:shd w:val="clear" w:color="000000" w:fill="FFFFFF"/>
            <w:noWrap/>
            <w:vAlign w:val="center"/>
            <w:hideMark/>
          </w:tcPr>
          <w:p w:rsidR="00FD127A" w:rsidRPr="00612923" w:rsidRDefault="00FD127A" w:rsidP="00254844">
            <w:pPr>
              <w:pStyle w:val="TableText"/>
              <w:keepNext/>
            </w:pPr>
            <w:r w:rsidRPr="00612923">
              <w:t>0.16</w:t>
            </w:r>
          </w:p>
        </w:tc>
        <w:tc>
          <w:tcPr>
            <w:tcW w:w="1440" w:type="dxa"/>
            <w:shd w:val="clear" w:color="000000" w:fill="FFFFFF"/>
            <w:noWrap/>
            <w:vAlign w:val="center"/>
            <w:hideMark/>
          </w:tcPr>
          <w:p w:rsidR="00FD127A" w:rsidRPr="00612923" w:rsidRDefault="00FD127A" w:rsidP="00254844">
            <w:pPr>
              <w:pStyle w:val="TableText"/>
              <w:keepNext/>
            </w:pPr>
            <w:r w:rsidRPr="00612923">
              <w:t>12%</w:t>
            </w:r>
          </w:p>
        </w:tc>
        <w:tc>
          <w:tcPr>
            <w:tcW w:w="1206" w:type="dxa"/>
            <w:shd w:val="clear" w:color="000000" w:fill="FFFFFF"/>
            <w:noWrap/>
            <w:vAlign w:val="center"/>
            <w:hideMark/>
          </w:tcPr>
          <w:p w:rsidR="00FD127A" w:rsidRPr="00612923" w:rsidRDefault="00FD127A" w:rsidP="00254844">
            <w:pPr>
              <w:pStyle w:val="TableText"/>
              <w:keepNext/>
            </w:pPr>
            <w:r w:rsidRPr="00612923">
              <w:t>8.3</w:t>
            </w:r>
          </w:p>
        </w:tc>
        <w:tc>
          <w:tcPr>
            <w:tcW w:w="1139" w:type="dxa"/>
            <w:shd w:val="clear" w:color="000000" w:fill="FFFFFF"/>
            <w:noWrap/>
            <w:vAlign w:val="center"/>
            <w:hideMark/>
          </w:tcPr>
          <w:p w:rsidR="00FD127A" w:rsidRPr="00612923" w:rsidRDefault="00FD127A" w:rsidP="00254844">
            <w:pPr>
              <w:pStyle w:val="TableText"/>
              <w:keepNext/>
            </w:pPr>
            <w:r w:rsidRPr="00612923">
              <w:t>89</w:t>
            </w:r>
          </w:p>
        </w:tc>
      </w:tr>
      <w:tr w:rsidR="00FD127A" w:rsidRPr="00612923" w:rsidTr="00FD127A">
        <w:trPr>
          <w:trHeight w:val="315"/>
        </w:trPr>
        <w:tc>
          <w:tcPr>
            <w:tcW w:w="1275" w:type="dxa"/>
            <w:shd w:val="clear" w:color="000000" w:fill="FFFFFF"/>
            <w:noWrap/>
            <w:vAlign w:val="center"/>
            <w:hideMark/>
          </w:tcPr>
          <w:p w:rsidR="00FD127A" w:rsidRPr="00612923" w:rsidRDefault="00FD127A" w:rsidP="00FD127A">
            <w:pPr>
              <w:pStyle w:val="TableText"/>
              <w:rPr>
                <w:b/>
                <w:bCs/>
              </w:rPr>
            </w:pPr>
            <w:r w:rsidRPr="00612923">
              <w:rPr>
                <w:b/>
                <w:bCs/>
              </w:rPr>
              <w:t>Total</w:t>
            </w:r>
          </w:p>
        </w:tc>
        <w:tc>
          <w:tcPr>
            <w:tcW w:w="1440" w:type="dxa"/>
            <w:shd w:val="clear" w:color="000000" w:fill="FFFFFF"/>
            <w:noWrap/>
            <w:vAlign w:val="center"/>
            <w:hideMark/>
          </w:tcPr>
          <w:p w:rsidR="00FD127A" w:rsidRPr="00612923" w:rsidRDefault="00FD127A" w:rsidP="00FD127A">
            <w:pPr>
              <w:pStyle w:val="TableText"/>
              <w:rPr>
                <w:b/>
                <w:bCs/>
              </w:rPr>
            </w:pPr>
            <w:r w:rsidRPr="00612923">
              <w:rPr>
                <w:b/>
                <w:bCs/>
              </w:rPr>
              <w:t>38,667</w:t>
            </w:r>
          </w:p>
        </w:tc>
        <w:tc>
          <w:tcPr>
            <w:tcW w:w="1260" w:type="dxa"/>
            <w:shd w:val="clear" w:color="000000" w:fill="FFFFFF"/>
            <w:noWrap/>
            <w:vAlign w:val="center"/>
            <w:hideMark/>
          </w:tcPr>
          <w:p w:rsidR="00FD127A" w:rsidRPr="00612923" w:rsidRDefault="00FD127A" w:rsidP="00FD127A">
            <w:pPr>
              <w:pStyle w:val="TableText"/>
              <w:rPr>
                <w:b/>
                <w:bCs/>
              </w:rPr>
            </w:pPr>
            <w:r w:rsidRPr="00612923">
              <w:rPr>
                <w:b/>
                <w:bCs/>
              </w:rPr>
              <w:t>1.44</w:t>
            </w:r>
          </w:p>
        </w:tc>
        <w:tc>
          <w:tcPr>
            <w:tcW w:w="1620" w:type="dxa"/>
            <w:shd w:val="clear" w:color="000000" w:fill="FFFFFF"/>
            <w:noWrap/>
            <w:vAlign w:val="center"/>
            <w:hideMark/>
          </w:tcPr>
          <w:p w:rsidR="00FD127A" w:rsidRPr="00612923" w:rsidRDefault="00FD127A" w:rsidP="00FD127A">
            <w:pPr>
              <w:pStyle w:val="TableText"/>
              <w:rPr>
                <w:b/>
                <w:bCs/>
              </w:rPr>
            </w:pPr>
            <w:r w:rsidRPr="00612923">
              <w:rPr>
                <w:b/>
                <w:bCs/>
              </w:rPr>
              <w:t>0.20</w:t>
            </w:r>
          </w:p>
        </w:tc>
        <w:tc>
          <w:tcPr>
            <w:tcW w:w="1440" w:type="dxa"/>
            <w:shd w:val="clear" w:color="000000" w:fill="FFFFFF"/>
            <w:noWrap/>
            <w:vAlign w:val="center"/>
            <w:hideMark/>
          </w:tcPr>
          <w:p w:rsidR="00FD127A" w:rsidRPr="00612923" w:rsidRDefault="00FD127A" w:rsidP="00FD127A">
            <w:pPr>
              <w:pStyle w:val="TableText"/>
              <w:rPr>
                <w:b/>
                <w:bCs/>
              </w:rPr>
            </w:pPr>
            <w:r w:rsidRPr="00612923">
              <w:rPr>
                <w:b/>
                <w:bCs/>
              </w:rPr>
              <w:t>14%</w:t>
            </w:r>
          </w:p>
        </w:tc>
        <w:tc>
          <w:tcPr>
            <w:tcW w:w="1206" w:type="dxa"/>
            <w:shd w:val="clear" w:color="000000" w:fill="FFFFFF"/>
            <w:noWrap/>
            <w:vAlign w:val="center"/>
            <w:hideMark/>
          </w:tcPr>
          <w:p w:rsidR="00FD127A" w:rsidRPr="00612923" w:rsidRDefault="00FD127A" w:rsidP="00FD127A">
            <w:pPr>
              <w:pStyle w:val="TableText"/>
              <w:rPr>
                <w:b/>
                <w:bCs/>
              </w:rPr>
            </w:pPr>
            <w:r w:rsidRPr="00612923">
              <w:rPr>
                <w:b/>
                <w:bCs/>
              </w:rPr>
              <w:t>7.9</w:t>
            </w:r>
          </w:p>
        </w:tc>
        <w:tc>
          <w:tcPr>
            <w:tcW w:w="1139" w:type="dxa"/>
            <w:shd w:val="clear" w:color="000000" w:fill="FFFFFF"/>
            <w:noWrap/>
            <w:vAlign w:val="center"/>
            <w:hideMark/>
          </w:tcPr>
          <w:p w:rsidR="00FD127A" w:rsidRPr="00612923" w:rsidRDefault="00FD127A" w:rsidP="00FD127A">
            <w:pPr>
              <w:pStyle w:val="TableText"/>
              <w:rPr>
                <w:b/>
                <w:bCs/>
              </w:rPr>
            </w:pPr>
            <w:r w:rsidRPr="00612923">
              <w:rPr>
                <w:b/>
                <w:bCs/>
              </w:rPr>
              <w:t>90</w:t>
            </w:r>
          </w:p>
        </w:tc>
      </w:tr>
    </w:tbl>
    <w:p w:rsidR="00FD127A" w:rsidRPr="00612923" w:rsidRDefault="00FD127A" w:rsidP="00FD127A">
      <w:pPr>
        <w:pStyle w:val="TableFigureCaption"/>
      </w:pPr>
    </w:p>
    <w:p w:rsidR="00FD127A" w:rsidRPr="00612923" w:rsidRDefault="00FD127A" w:rsidP="00FD127A">
      <w:pPr>
        <w:pStyle w:val="BodyParaAfterTableFigure"/>
        <w:rPr>
          <w:rFonts w:ascii="Arial" w:hAnsi="Arial"/>
          <w:sz w:val="20"/>
        </w:rPr>
      </w:pPr>
      <w:r w:rsidRPr="00612923">
        <w:br w:type="page"/>
      </w:r>
    </w:p>
    <w:p w:rsidR="00FD127A" w:rsidRPr="00612923" w:rsidRDefault="00FD127A" w:rsidP="00FD127A">
      <w:pPr>
        <w:pStyle w:val="TableFigureCaption"/>
      </w:pPr>
      <w:r w:rsidRPr="00612923">
        <w:lastRenderedPageBreak/>
        <w:t>Table 4-2: Dually</w:t>
      </w:r>
      <w:r w:rsidR="00387990" w:rsidRPr="00612923">
        <w:t>-e</w:t>
      </w:r>
      <w:r w:rsidRPr="00612923">
        <w:t>nrolled Ex Post Load Impact Estimates</w:t>
      </w:r>
    </w:p>
    <w:tbl>
      <w:tblPr>
        <w:tblW w:w="938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5"/>
        <w:gridCol w:w="1440"/>
        <w:gridCol w:w="1260"/>
        <w:gridCol w:w="1620"/>
        <w:gridCol w:w="1440"/>
        <w:gridCol w:w="1206"/>
        <w:gridCol w:w="1139"/>
      </w:tblGrid>
      <w:tr w:rsidR="00FD127A" w:rsidRPr="00612923" w:rsidTr="00FD127A">
        <w:trPr>
          <w:trHeight w:val="1035"/>
        </w:trPr>
        <w:tc>
          <w:tcPr>
            <w:tcW w:w="1275" w:type="dxa"/>
            <w:tcBorders>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Date</w:t>
            </w:r>
          </w:p>
        </w:tc>
        <w:tc>
          <w:tcPr>
            <w:tcW w:w="144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Enrolled participants</w:t>
            </w:r>
          </w:p>
        </w:tc>
        <w:tc>
          <w:tcPr>
            <w:tcW w:w="126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Avg. Reference Load (kW)</w:t>
            </w:r>
          </w:p>
        </w:tc>
        <w:tc>
          <w:tcPr>
            <w:tcW w:w="162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Avg. Load Reduction (kW)</w:t>
            </w:r>
          </w:p>
        </w:tc>
        <w:tc>
          <w:tcPr>
            <w:tcW w:w="144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Percent Load Reduction (%)</w:t>
            </w:r>
          </w:p>
        </w:tc>
        <w:tc>
          <w:tcPr>
            <w:tcW w:w="1206"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Aggregate Load Reduction (MW)</w:t>
            </w:r>
          </w:p>
        </w:tc>
        <w:tc>
          <w:tcPr>
            <w:tcW w:w="1139" w:type="dxa"/>
            <w:tcBorders>
              <w:lef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Daily Maximum Temp (°F)</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9-Jul-12</w:t>
            </w:r>
          </w:p>
        </w:tc>
        <w:tc>
          <w:tcPr>
            <w:tcW w:w="1440" w:type="dxa"/>
            <w:shd w:val="clear" w:color="000000" w:fill="FFFFFF"/>
            <w:noWrap/>
            <w:vAlign w:val="center"/>
            <w:hideMark/>
          </w:tcPr>
          <w:p w:rsidR="00FD127A" w:rsidRPr="00612923" w:rsidRDefault="00FD127A" w:rsidP="00254844">
            <w:pPr>
              <w:pStyle w:val="TableText"/>
              <w:keepNext/>
            </w:pPr>
            <w:r w:rsidRPr="00612923">
              <w:t>13,914</w:t>
            </w:r>
          </w:p>
        </w:tc>
        <w:tc>
          <w:tcPr>
            <w:tcW w:w="1260" w:type="dxa"/>
            <w:shd w:val="clear" w:color="000000" w:fill="FFFFFF"/>
            <w:noWrap/>
            <w:vAlign w:val="center"/>
            <w:hideMark/>
          </w:tcPr>
          <w:p w:rsidR="00FD127A" w:rsidRPr="00612923" w:rsidRDefault="00FD127A" w:rsidP="00254844">
            <w:pPr>
              <w:pStyle w:val="TableText"/>
              <w:keepNext/>
            </w:pPr>
            <w:r w:rsidRPr="00612923">
              <w:t>1.65</w:t>
            </w:r>
          </w:p>
        </w:tc>
        <w:tc>
          <w:tcPr>
            <w:tcW w:w="1620" w:type="dxa"/>
            <w:shd w:val="clear" w:color="000000" w:fill="FFFFFF"/>
            <w:noWrap/>
            <w:vAlign w:val="center"/>
            <w:hideMark/>
          </w:tcPr>
          <w:p w:rsidR="00FD127A" w:rsidRPr="00612923" w:rsidRDefault="00FD127A" w:rsidP="00254844">
            <w:pPr>
              <w:pStyle w:val="TableText"/>
              <w:keepNext/>
            </w:pPr>
            <w:r w:rsidRPr="00612923">
              <w:t>0.48</w:t>
            </w:r>
          </w:p>
        </w:tc>
        <w:tc>
          <w:tcPr>
            <w:tcW w:w="1440" w:type="dxa"/>
            <w:shd w:val="clear" w:color="000000" w:fill="FFFFFF"/>
            <w:noWrap/>
            <w:vAlign w:val="center"/>
            <w:hideMark/>
          </w:tcPr>
          <w:p w:rsidR="00FD127A" w:rsidRPr="00612923" w:rsidRDefault="00FD127A" w:rsidP="00254844">
            <w:pPr>
              <w:pStyle w:val="TableText"/>
              <w:keepNext/>
            </w:pPr>
            <w:r w:rsidRPr="00612923">
              <w:t>29%</w:t>
            </w:r>
          </w:p>
        </w:tc>
        <w:tc>
          <w:tcPr>
            <w:tcW w:w="1206" w:type="dxa"/>
            <w:shd w:val="clear" w:color="000000" w:fill="FFFFFF"/>
            <w:noWrap/>
            <w:vAlign w:val="center"/>
            <w:hideMark/>
          </w:tcPr>
          <w:p w:rsidR="00FD127A" w:rsidRPr="00612923" w:rsidRDefault="00FD127A" w:rsidP="00254844">
            <w:pPr>
              <w:pStyle w:val="TableText"/>
              <w:keepNext/>
            </w:pPr>
            <w:r w:rsidRPr="00612923">
              <w:t>6.6</w:t>
            </w:r>
          </w:p>
        </w:tc>
        <w:tc>
          <w:tcPr>
            <w:tcW w:w="1139" w:type="dxa"/>
            <w:shd w:val="clear" w:color="000000" w:fill="FFFFFF"/>
            <w:noWrap/>
            <w:vAlign w:val="center"/>
            <w:hideMark/>
          </w:tcPr>
          <w:p w:rsidR="00FD127A" w:rsidRPr="00612923" w:rsidRDefault="00FD127A" w:rsidP="00254844">
            <w:pPr>
              <w:pStyle w:val="TableText"/>
              <w:keepNext/>
            </w:pPr>
            <w:r w:rsidRPr="00612923">
              <w:t>89</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10-Jul-12</w:t>
            </w:r>
          </w:p>
        </w:tc>
        <w:tc>
          <w:tcPr>
            <w:tcW w:w="1440" w:type="dxa"/>
            <w:shd w:val="clear" w:color="000000" w:fill="FFFFFF"/>
            <w:noWrap/>
            <w:vAlign w:val="center"/>
            <w:hideMark/>
          </w:tcPr>
          <w:p w:rsidR="00FD127A" w:rsidRPr="00612923" w:rsidRDefault="00FD127A" w:rsidP="00254844">
            <w:pPr>
              <w:pStyle w:val="TableText"/>
              <w:keepNext/>
            </w:pPr>
            <w:r w:rsidRPr="00612923">
              <w:t>14,526</w:t>
            </w:r>
          </w:p>
        </w:tc>
        <w:tc>
          <w:tcPr>
            <w:tcW w:w="1260" w:type="dxa"/>
            <w:shd w:val="clear" w:color="000000" w:fill="FFFFFF"/>
            <w:noWrap/>
            <w:vAlign w:val="center"/>
            <w:hideMark/>
          </w:tcPr>
          <w:p w:rsidR="00FD127A" w:rsidRPr="00612923" w:rsidRDefault="00FD127A" w:rsidP="00254844">
            <w:pPr>
              <w:pStyle w:val="TableText"/>
              <w:keepNext/>
            </w:pPr>
            <w:r w:rsidRPr="00612923">
              <w:t>1.90</w:t>
            </w:r>
          </w:p>
        </w:tc>
        <w:tc>
          <w:tcPr>
            <w:tcW w:w="1620" w:type="dxa"/>
            <w:shd w:val="clear" w:color="000000" w:fill="FFFFFF"/>
            <w:noWrap/>
            <w:vAlign w:val="center"/>
            <w:hideMark/>
          </w:tcPr>
          <w:p w:rsidR="00FD127A" w:rsidRPr="00612923" w:rsidRDefault="00FD127A" w:rsidP="00254844">
            <w:pPr>
              <w:pStyle w:val="TableText"/>
              <w:keepNext/>
            </w:pPr>
            <w:r w:rsidRPr="00612923">
              <w:t>0.49</w:t>
            </w:r>
          </w:p>
        </w:tc>
        <w:tc>
          <w:tcPr>
            <w:tcW w:w="1440" w:type="dxa"/>
            <w:shd w:val="clear" w:color="000000" w:fill="FFFFFF"/>
            <w:noWrap/>
            <w:vAlign w:val="center"/>
            <w:hideMark/>
          </w:tcPr>
          <w:p w:rsidR="00FD127A" w:rsidRPr="00612923" w:rsidRDefault="00FD127A" w:rsidP="00254844">
            <w:pPr>
              <w:pStyle w:val="TableText"/>
              <w:keepNext/>
            </w:pPr>
            <w:r w:rsidRPr="00612923">
              <w:t>26%</w:t>
            </w:r>
          </w:p>
        </w:tc>
        <w:tc>
          <w:tcPr>
            <w:tcW w:w="1206" w:type="dxa"/>
            <w:shd w:val="clear" w:color="000000" w:fill="FFFFFF"/>
            <w:noWrap/>
            <w:vAlign w:val="center"/>
            <w:hideMark/>
          </w:tcPr>
          <w:p w:rsidR="00FD127A" w:rsidRPr="00612923" w:rsidRDefault="00FD127A" w:rsidP="00254844">
            <w:pPr>
              <w:pStyle w:val="TableText"/>
              <w:keepNext/>
            </w:pPr>
            <w:r w:rsidRPr="00612923">
              <w:t>7.1</w:t>
            </w:r>
          </w:p>
        </w:tc>
        <w:tc>
          <w:tcPr>
            <w:tcW w:w="1139" w:type="dxa"/>
            <w:shd w:val="clear" w:color="000000" w:fill="FFFFFF"/>
            <w:noWrap/>
            <w:vAlign w:val="center"/>
            <w:hideMark/>
          </w:tcPr>
          <w:p w:rsidR="00FD127A" w:rsidRPr="00612923" w:rsidRDefault="00FD127A" w:rsidP="00254844">
            <w:pPr>
              <w:pStyle w:val="TableText"/>
              <w:keepNext/>
            </w:pPr>
            <w:r w:rsidRPr="00612923">
              <w:t>96</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11-Jul-12</w:t>
            </w:r>
          </w:p>
        </w:tc>
        <w:tc>
          <w:tcPr>
            <w:tcW w:w="1440" w:type="dxa"/>
            <w:shd w:val="clear" w:color="000000" w:fill="FFFFFF"/>
            <w:noWrap/>
            <w:vAlign w:val="center"/>
            <w:hideMark/>
          </w:tcPr>
          <w:p w:rsidR="00FD127A" w:rsidRPr="00612923" w:rsidRDefault="00FD127A" w:rsidP="00254844">
            <w:pPr>
              <w:pStyle w:val="TableText"/>
              <w:keepNext/>
            </w:pPr>
            <w:r w:rsidRPr="00612923">
              <w:t>15,263</w:t>
            </w:r>
          </w:p>
        </w:tc>
        <w:tc>
          <w:tcPr>
            <w:tcW w:w="1260" w:type="dxa"/>
            <w:shd w:val="clear" w:color="000000" w:fill="FFFFFF"/>
            <w:noWrap/>
            <w:vAlign w:val="center"/>
            <w:hideMark/>
          </w:tcPr>
          <w:p w:rsidR="00FD127A" w:rsidRPr="00612923" w:rsidRDefault="00FD127A" w:rsidP="00254844">
            <w:pPr>
              <w:pStyle w:val="TableText"/>
              <w:keepNext/>
            </w:pPr>
            <w:r w:rsidRPr="00612923">
              <w:t>2.19</w:t>
            </w:r>
          </w:p>
        </w:tc>
        <w:tc>
          <w:tcPr>
            <w:tcW w:w="1620" w:type="dxa"/>
            <w:shd w:val="clear" w:color="000000" w:fill="FFFFFF"/>
            <w:noWrap/>
            <w:vAlign w:val="center"/>
            <w:hideMark/>
          </w:tcPr>
          <w:p w:rsidR="00FD127A" w:rsidRPr="00612923" w:rsidRDefault="00FD127A" w:rsidP="00254844">
            <w:pPr>
              <w:pStyle w:val="TableText"/>
              <w:keepNext/>
            </w:pPr>
            <w:r w:rsidRPr="00612923">
              <w:t>0.56</w:t>
            </w:r>
          </w:p>
        </w:tc>
        <w:tc>
          <w:tcPr>
            <w:tcW w:w="1440" w:type="dxa"/>
            <w:shd w:val="clear" w:color="000000" w:fill="FFFFFF"/>
            <w:noWrap/>
            <w:vAlign w:val="center"/>
            <w:hideMark/>
          </w:tcPr>
          <w:p w:rsidR="00FD127A" w:rsidRPr="00612923" w:rsidRDefault="00FD127A" w:rsidP="00254844">
            <w:pPr>
              <w:pStyle w:val="TableText"/>
              <w:keepNext/>
            </w:pPr>
            <w:r w:rsidRPr="00612923">
              <w:t>25%</w:t>
            </w:r>
          </w:p>
        </w:tc>
        <w:tc>
          <w:tcPr>
            <w:tcW w:w="1206" w:type="dxa"/>
            <w:shd w:val="clear" w:color="000000" w:fill="FFFFFF"/>
            <w:noWrap/>
            <w:vAlign w:val="center"/>
            <w:hideMark/>
          </w:tcPr>
          <w:p w:rsidR="00FD127A" w:rsidRPr="00612923" w:rsidRDefault="00FD127A" w:rsidP="00254844">
            <w:pPr>
              <w:pStyle w:val="TableText"/>
              <w:keepNext/>
            </w:pPr>
            <w:r w:rsidRPr="00612923">
              <w:t>8.5</w:t>
            </w:r>
          </w:p>
        </w:tc>
        <w:tc>
          <w:tcPr>
            <w:tcW w:w="1139" w:type="dxa"/>
            <w:shd w:val="clear" w:color="000000" w:fill="FFFFFF"/>
            <w:noWrap/>
            <w:vAlign w:val="center"/>
            <w:hideMark/>
          </w:tcPr>
          <w:p w:rsidR="00FD127A" w:rsidRPr="00612923" w:rsidRDefault="00FD127A" w:rsidP="00254844">
            <w:pPr>
              <w:pStyle w:val="TableText"/>
              <w:keepNext/>
            </w:pPr>
            <w:r w:rsidRPr="00612923">
              <w:t>99</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4-Sep-12</w:t>
            </w:r>
          </w:p>
        </w:tc>
        <w:tc>
          <w:tcPr>
            <w:tcW w:w="1440" w:type="dxa"/>
            <w:shd w:val="clear" w:color="000000" w:fill="FFFFFF"/>
            <w:noWrap/>
            <w:vAlign w:val="center"/>
            <w:hideMark/>
          </w:tcPr>
          <w:p w:rsidR="00FD127A" w:rsidRPr="00612923" w:rsidRDefault="00FD127A" w:rsidP="00254844">
            <w:pPr>
              <w:pStyle w:val="TableText"/>
              <w:keepNext/>
            </w:pPr>
            <w:r w:rsidRPr="00612923">
              <w:t>25,267</w:t>
            </w:r>
          </w:p>
        </w:tc>
        <w:tc>
          <w:tcPr>
            <w:tcW w:w="1260" w:type="dxa"/>
            <w:shd w:val="clear" w:color="000000" w:fill="FFFFFF"/>
            <w:noWrap/>
            <w:vAlign w:val="center"/>
            <w:hideMark/>
          </w:tcPr>
          <w:p w:rsidR="00FD127A" w:rsidRPr="00612923" w:rsidRDefault="00FD127A" w:rsidP="00254844">
            <w:pPr>
              <w:pStyle w:val="TableText"/>
              <w:keepNext/>
            </w:pPr>
            <w:r w:rsidRPr="00612923">
              <w:t>1.47</w:t>
            </w:r>
          </w:p>
        </w:tc>
        <w:tc>
          <w:tcPr>
            <w:tcW w:w="1620" w:type="dxa"/>
            <w:shd w:val="clear" w:color="000000" w:fill="FFFFFF"/>
            <w:noWrap/>
            <w:vAlign w:val="center"/>
            <w:hideMark/>
          </w:tcPr>
          <w:p w:rsidR="00FD127A" w:rsidRPr="00612923" w:rsidRDefault="00FD127A" w:rsidP="00254844">
            <w:pPr>
              <w:pStyle w:val="TableText"/>
              <w:keepNext/>
            </w:pPr>
            <w:r w:rsidRPr="00612923">
              <w:t>0.38</w:t>
            </w:r>
          </w:p>
        </w:tc>
        <w:tc>
          <w:tcPr>
            <w:tcW w:w="1440" w:type="dxa"/>
            <w:shd w:val="clear" w:color="000000" w:fill="FFFFFF"/>
            <w:noWrap/>
            <w:vAlign w:val="center"/>
            <w:hideMark/>
          </w:tcPr>
          <w:p w:rsidR="00FD127A" w:rsidRPr="00612923" w:rsidRDefault="00FD127A" w:rsidP="00254844">
            <w:pPr>
              <w:pStyle w:val="TableText"/>
              <w:keepNext/>
            </w:pPr>
            <w:r w:rsidRPr="00612923">
              <w:t>26%</w:t>
            </w:r>
          </w:p>
        </w:tc>
        <w:tc>
          <w:tcPr>
            <w:tcW w:w="1206" w:type="dxa"/>
            <w:shd w:val="clear" w:color="000000" w:fill="FFFFFF"/>
            <w:noWrap/>
            <w:vAlign w:val="center"/>
            <w:hideMark/>
          </w:tcPr>
          <w:p w:rsidR="00FD127A" w:rsidRPr="00612923" w:rsidRDefault="00FD127A" w:rsidP="00254844">
            <w:pPr>
              <w:pStyle w:val="TableText"/>
              <w:keepNext/>
            </w:pPr>
            <w:r w:rsidRPr="00612923">
              <w:t>9.6</w:t>
            </w:r>
          </w:p>
        </w:tc>
        <w:tc>
          <w:tcPr>
            <w:tcW w:w="1139" w:type="dxa"/>
            <w:shd w:val="clear" w:color="000000" w:fill="FFFFFF"/>
            <w:noWrap/>
            <w:vAlign w:val="center"/>
            <w:hideMark/>
          </w:tcPr>
          <w:p w:rsidR="00FD127A" w:rsidRPr="00612923" w:rsidRDefault="00FD127A" w:rsidP="00254844">
            <w:pPr>
              <w:pStyle w:val="TableText"/>
              <w:keepNext/>
            </w:pPr>
            <w:r w:rsidRPr="00612923">
              <w:t>89</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13-Sep-12</w:t>
            </w:r>
          </w:p>
        </w:tc>
        <w:tc>
          <w:tcPr>
            <w:tcW w:w="1440" w:type="dxa"/>
            <w:shd w:val="clear" w:color="000000" w:fill="FFFFFF"/>
            <w:noWrap/>
            <w:vAlign w:val="center"/>
            <w:hideMark/>
          </w:tcPr>
          <w:p w:rsidR="00FD127A" w:rsidRPr="00612923" w:rsidRDefault="00FD127A" w:rsidP="00254844">
            <w:pPr>
              <w:pStyle w:val="TableText"/>
              <w:keepNext/>
            </w:pPr>
            <w:r w:rsidRPr="00612923">
              <w:t>26,345</w:t>
            </w:r>
          </w:p>
        </w:tc>
        <w:tc>
          <w:tcPr>
            <w:tcW w:w="1260" w:type="dxa"/>
            <w:shd w:val="clear" w:color="000000" w:fill="FFFFFF"/>
            <w:noWrap/>
            <w:vAlign w:val="center"/>
            <w:hideMark/>
          </w:tcPr>
          <w:p w:rsidR="00FD127A" w:rsidRPr="00612923" w:rsidRDefault="00FD127A" w:rsidP="00254844">
            <w:pPr>
              <w:pStyle w:val="TableText"/>
              <w:keepNext/>
            </w:pPr>
            <w:r w:rsidRPr="00612923">
              <w:t>1.53</w:t>
            </w:r>
          </w:p>
        </w:tc>
        <w:tc>
          <w:tcPr>
            <w:tcW w:w="1620" w:type="dxa"/>
            <w:shd w:val="clear" w:color="000000" w:fill="FFFFFF"/>
            <w:noWrap/>
            <w:vAlign w:val="center"/>
            <w:hideMark/>
          </w:tcPr>
          <w:p w:rsidR="00FD127A" w:rsidRPr="00612923" w:rsidRDefault="00FD127A" w:rsidP="00254844">
            <w:pPr>
              <w:pStyle w:val="TableText"/>
              <w:keepNext/>
            </w:pPr>
            <w:r w:rsidRPr="00612923">
              <w:t>0.38</w:t>
            </w:r>
          </w:p>
        </w:tc>
        <w:tc>
          <w:tcPr>
            <w:tcW w:w="1440" w:type="dxa"/>
            <w:shd w:val="clear" w:color="000000" w:fill="FFFFFF"/>
            <w:noWrap/>
            <w:vAlign w:val="center"/>
            <w:hideMark/>
          </w:tcPr>
          <w:p w:rsidR="00FD127A" w:rsidRPr="00612923" w:rsidRDefault="00FD127A" w:rsidP="00254844">
            <w:pPr>
              <w:pStyle w:val="TableText"/>
              <w:keepNext/>
            </w:pPr>
            <w:r w:rsidRPr="00612923">
              <w:t>25%</w:t>
            </w:r>
          </w:p>
        </w:tc>
        <w:tc>
          <w:tcPr>
            <w:tcW w:w="1206" w:type="dxa"/>
            <w:shd w:val="clear" w:color="000000" w:fill="FFFFFF"/>
            <w:noWrap/>
            <w:vAlign w:val="center"/>
            <w:hideMark/>
          </w:tcPr>
          <w:p w:rsidR="00FD127A" w:rsidRPr="00612923" w:rsidRDefault="00FD127A" w:rsidP="00254844">
            <w:pPr>
              <w:pStyle w:val="TableText"/>
              <w:keepNext/>
            </w:pPr>
            <w:r w:rsidRPr="00612923">
              <w:t>10.0</w:t>
            </w:r>
          </w:p>
        </w:tc>
        <w:tc>
          <w:tcPr>
            <w:tcW w:w="1139" w:type="dxa"/>
            <w:shd w:val="clear" w:color="000000" w:fill="FFFFFF"/>
            <w:noWrap/>
            <w:vAlign w:val="center"/>
            <w:hideMark/>
          </w:tcPr>
          <w:p w:rsidR="00FD127A" w:rsidRPr="00612923" w:rsidRDefault="00FD127A" w:rsidP="00254844">
            <w:pPr>
              <w:pStyle w:val="TableText"/>
              <w:keepNext/>
            </w:pPr>
            <w:r w:rsidRPr="00612923">
              <w:t>90</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14-Sep-12</w:t>
            </w:r>
          </w:p>
        </w:tc>
        <w:tc>
          <w:tcPr>
            <w:tcW w:w="1440" w:type="dxa"/>
            <w:shd w:val="clear" w:color="000000" w:fill="FFFFFF"/>
            <w:noWrap/>
            <w:vAlign w:val="center"/>
            <w:hideMark/>
          </w:tcPr>
          <w:p w:rsidR="00FD127A" w:rsidRPr="00612923" w:rsidRDefault="00FD127A" w:rsidP="00254844">
            <w:pPr>
              <w:pStyle w:val="TableText"/>
              <w:keepNext/>
            </w:pPr>
            <w:r w:rsidRPr="00612923">
              <w:t>26,427</w:t>
            </w:r>
          </w:p>
        </w:tc>
        <w:tc>
          <w:tcPr>
            <w:tcW w:w="1260" w:type="dxa"/>
            <w:shd w:val="clear" w:color="000000" w:fill="FFFFFF"/>
            <w:noWrap/>
            <w:vAlign w:val="center"/>
            <w:hideMark/>
          </w:tcPr>
          <w:p w:rsidR="00FD127A" w:rsidRPr="00612923" w:rsidRDefault="00FD127A" w:rsidP="00254844">
            <w:pPr>
              <w:pStyle w:val="TableText"/>
              <w:keepNext/>
            </w:pPr>
            <w:r w:rsidRPr="00612923">
              <w:t>1.50</w:t>
            </w:r>
          </w:p>
        </w:tc>
        <w:tc>
          <w:tcPr>
            <w:tcW w:w="1620" w:type="dxa"/>
            <w:shd w:val="clear" w:color="000000" w:fill="FFFFFF"/>
            <w:noWrap/>
            <w:vAlign w:val="center"/>
            <w:hideMark/>
          </w:tcPr>
          <w:p w:rsidR="00FD127A" w:rsidRPr="00612923" w:rsidRDefault="00FD127A" w:rsidP="00254844">
            <w:pPr>
              <w:pStyle w:val="TableText"/>
              <w:keepNext/>
            </w:pPr>
            <w:r w:rsidRPr="00612923">
              <w:t>0.35</w:t>
            </w:r>
          </w:p>
        </w:tc>
        <w:tc>
          <w:tcPr>
            <w:tcW w:w="1440" w:type="dxa"/>
            <w:shd w:val="clear" w:color="000000" w:fill="FFFFFF"/>
            <w:noWrap/>
            <w:vAlign w:val="center"/>
            <w:hideMark/>
          </w:tcPr>
          <w:p w:rsidR="00FD127A" w:rsidRPr="00612923" w:rsidRDefault="00FD127A" w:rsidP="00254844">
            <w:pPr>
              <w:pStyle w:val="TableText"/>
              <w:keepNext/>
            </w:pPr>
            <w:r w:rsidRPr="00612923">
              <w:t>24%</w:t>
            </w:r>
          </w:p>
        </w:tc>
        <w:tc>
          <w:tcPr>
            <w:tcW w:w="1206" w:type="dxa"/>
            <w:shd w:val="clear" w:color="000000" w:fill="FFFFFF"/>
            <w:noWrap/>
            <w:vAlign w:val="center"/>
            <w:hideMark/>
          </w:tcPr>
          <w:p w:rsidR="00FD127A" w:rsidRPr="00612923" w:rsidRDefault="00FD127A" w:rsidP="00254844">
            <w:pPr>
              <w:pStyle w:val="TableText"/>
              <w:keepNext/>
            </w:pPr>
            <w:r w:rsidRPr="00612923">
              <w:t>9.4</w:t>
            </w:r>
          </w:p>
        </w:tc>
        <w:tc>
          <w:tcPr>
            <w:tcW w:w="1139" w:type="dxa"/>
            <w:shd w:val="clear" w:color="000000" w:fill="FFFFFF"/>
            <w:noWrap/>
            <w:vAlign w:val="center"/>
            <w:hideMark/>
          </w:tcPr>
          <w:p w:rsidR="00FD127A" w:rsidRPr="00612923" w:rsidRDefault="00FD127A" w:rsidP="00254844">
            <w:pPr>
              <w:pStyle w:val="TableText"/>
              <w:keepNext/>
            </w:pPr>
            <w:r w:rsidRPr="00612923">
              <w:t>88</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23-Jul-12</w:t>
            </w:r>
          </w:p>
        </w:tc>
        <w:tc>
          <w:tcPr>
            <w:tcW w:w="1440" w:type="dxa"/>
            <w:shd w:val="clear" w:color="000000" w:fill="FFFFFF"/>
            <w:noWrap/>
            <w:vAlign w:val="center"/>
            <w:hideMark/>
          </w:tcPr>
          <w:p w:rsidR="00FD127A" w:rsidRPr="00612923" w:rsidRDefault="00FD127A" w:rsidP="00254844">
            <w:pPr>
              <w:pStyle w:val="TableText"/>
              <w:keepNext/>
            </w:pPr>
            <w:r w:rsidRPr="00612923">
              <w:t>18,461</w:t>
            </w:r>
          </w:p>
        </w:tc>
        <w:tc>
          <w:tcPr>
            <w:tcW w:w="1260" w:type="dxa"/>
            <w:shd w:val="clear" w:color="000000" w:fill="FFFFFF"/>
            <w:noWrap/>
            <w:vAlign w:val="center"/>
            <w:hideMark/>
          </w:tcPr>
          <w:p w:rsidR="00FD127A" w:rsidRPr="00612923" w:rsidRDefault="00FD127A" w:rsidP="00254844">
            <w:pPr>
              <w:pStyle w:val="TableText"/>
              <w:keepNext/>
            </w:pPr>
            <w:r w:rsidRPr="00612923">
              <w:t>1.76</w:t>
            </w:r>
          </w:p>
        </w:tc>
        <w:tc>
          <w:tcPr>
            <w:tcW w:w="1620" w:type="dxa"/>
            <w:shd w:val="clear" w:color="000000" w:fill="FFFFFF"/>
            <w:noWrap/>
            <w:vAlign w:val="center"/>
            <w:hideMark/>
          </w:tcPr>
          <w:p w:rsidR="00FD127A" w:rsidRPr="00612923" w:rsidRDefault="00FD127A" w:rsidP="00254844">
            <w:pPr>
              <w:pStyle w:val="TableText"/>
              <w:keepNext/>
            </w:pPr>
            <w:r w:rsidRPr="00612923">
              <w:t>0.41</w:t>
            </w:r>
          </w:p>
        </w:tc>
        <w:tc>
          <w:tcPr>
            <w:tcW w:w="1440" w:type="dxa"/>
            <w:shd w:val="clear" w:color="000000" w:fill="FFFFFF"/>
            <w:noWrap/>
            <w:vAlign w:val="center"/>
            <w:hideMark/>
          </w:tcPr>
          <w:p w:rsidR="00FD127A" w:rsidRPr="00612923" w:rsidRDefault="00FD127A" w:rsidP="00254844">
            <w:pPr>
              <w:pStyle w:val="TableText"/>
              <w:keepNext/>
            </w:pPr>
            <w:r w:rsidRPr="00612923">
              <w:t>23%</w:t>
            </w:r>
          </w:p>
        </w:tc>
        <w:tc>
          <w:tcPr>
            <w:tcW w:w="1206" w:type="dxa"/>
            <w:shd w:val="clear" w:color="000000" w:fill="FFFFFF"/>
            <w:noWrap/>
            <w:vAlign w:val="center"/>
            <w:hideMark/>
          </w:tcPr>
          <w:p w:rsidR="00FD127A" w:rsidRPr="00612923" w:rsidRDefault="00FD127A" w:rsidP="00254844">
            <w:pPr>
              <w:pStyle w:val="TableText"/>
              <w:keepNext/>
            </w:pPr>
            <w:r w:rsidRPr="00612923">
              <w:t>7.6</w:t>
            </w:r>
          </w:p>
        </w:tc>
        <w:tc>
          <w:tcPr>
            <w:tcW w:w="1139" w:type="dxa"/>
            <w:shd w:val="clear" w:color="000000" w:fill="FFFFFF"/>
            <w:noWrap/>
            <w:vAlign w:val="center"/>
            <w:hideMark/>
          </w:tcPr>
          <w:p w:rsidR="00FD127A" w:rsidRPr="00612923" w:rsidRDefault="00FD127A" w:rsidP="00254844">
            <w:pPr>
              <w:pStyle w:val="TableText"/>
              <w:keepNext/>
            </w:pPr>
            <w:r w:rsidRPr="00612923">
              <w:t>88</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1-Oct-12</w:t>
            </w:r>
          </w:p>
        </w:tc>
        <w:tc>
          <w:tcPr>
            <w:tcW w:w="1440" w:type="dxa"/>
            <w:shd w:val="clear" w:color="000000" w:fill="FFFFFF"/>
            <w:noWrap/>
            <w:vAlign w:val="center"/>
            <w:hideMark/>
          </w:tcPr>
          <w:p w:rsidR="00FD127A" w:rsidRPr="00612923" w:rsidRDefault="00FD127A" w:rsidP="00254844">
            <w:pPr>
              <w:pStyle w:val="TableText"/>
              <w:keepNext/>
            </w:pPr>
            <w:r w:rsidRPr="00612923">
              <w:t>27,016</w:t>
            </w:r>
          </w:p>
        </w:tc>
        <w:tc>
          <w:tcPr>
            <w:tcW w:w="1260" w:type="dxa"/>
            <w:shd w:val="clear" w:color="000000" w:fill="FFFFFF"/>
            <w:noWrap/>
            <w:vAlign w:val="center"/>
            <w:hideMark/>
          </w:tcPr>
          <w:p w:rsidR="00FD127A" w:rsidRPr="00612923" w:rsidRDefault="00FD127A" w:rsidP="00254844">
            <w:pPr>
              <w:pStyle w:val="TableText"/>
              <w:keepNext/>
            </w:pPr>
            <w:r w:rsidRPr="00612923">
              <w:t>1.63</w:t>
            </w:r>
          </w:p>
        </w:tc>
        <w:tc>
          <w:tcPr>
            <w:tcW w:w="1620" w:type="dxa"/>
            <w:shd w:val="clear" w:color="000000" w:fill="FFFFFF"/>
            <w:noWrap/>
            <w:vAlign w:val="center"/>
            <w:hideMark/>
          </w:tcPr>
          <w:p w:rsidR="00FD127A" w:rsidRPr="00612923" w:rsidRDefault="00FD127A" w:rsidP="00254844">
            <w:pPr>
              <w:pStyle w:val="TableText"/>
              <w:keepNext/>
            </w:pPr>
            <w:r w:rsidRPr="00612923">
              <w:t>0.45</w:t>
            </w:r>
          </w:p>
        </w:tc>
        <w:tc>
          <w:tcPr>
            <w:tcW w:w="1440" w:type="dxa"/>
            <w:shd w:val="clear" w:color="000000" w:fill="FFFFFF"/>
            <w:noWrap/>
            <w:vAlign w:val="center"/>
            <w:hideMark/>
          </w:tcPr>
          <w:p w:rsidR="00FD127A" w:rsidRPr="00612923" w:rsidRDefault="00FD127A" w:rsidP="00254844">
            <w:pPr>
              <w:pStyle w:val="TableText"/>
              <w:keepNext/>
            </w:pPr>
            <w:r w:rsidRPr="00612923">
              <w:t>28%</w:t>
            </w:r>
          </w:p>
        </w:tc>
        <w:tc>
          <w:tcPr>
            <w:tcW w:w="1206" w:type="dxa"/>
            <w:shd w:val="clear" w:color="000000" w:fill="FFFFFF"/>
            <w:noWrap/>
            <w:vAlign w:val="center"/>
            <w:hideMark/>
          </w:tcPr>
          <w:p w:rsidR="00FD127A" w:rsidRPr="00612923" w:rsidRDefault="00FD127A" w:rsidP="00254844">
            <w:pPr>
              <w:pStyle w:val="TableText"/>
              <w:keepNext/>
            </w:pPr>
            <w:r w:rsidRPr="00612923">
              <w:t>12.2</w:t>
            </w:r>
          </w:p>
        </w:tc>
        <w:tc>
          <w:tcPr>
            <w:tcW w:w="1139" w:type="dxa"/>
            <w:shd w:val="clear" w:color="000000" w:fill="FFFFFF"/>
            <w:noWrap/>
            <w:vAlign w:val="center"/>
            <w:hideMark/>
          </w:tcPr>
          <w:p w:rsidR="00FD127A" w:rsidRPr="00612923" w:rsidRDefault="00FD127A" w:rsidP="00254844">
            <w:pPr>
              <w:pStyle w:val="TableText"/>
              <w:keepNext/>
            </w:pPr>
            <w:r w:rsidRPr="00612923">
              <w:t>97</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2-Oct-12</w:t>
            </w:r>
          </w:p>
        </w:tc>
        <w:tc>
          <w:tcPr>
            <w:tcW w:w="1440" w:type="dxa"/>
            <w:shd w:val="clear" w:color="000000" w:fill="FFFFFF"/>
            <w:noWrap/>
            <w:vAlign w:val="center"/>
            <w:hideMark/>
          </w:tcPr>
          <w:p w:rsidR="00FD127A" w:rsidRPr="00612923" w:rsidRDefault="00FD127A" w:rsidP="00254844">
            <w:pPr>
              <w:pStyle w:val="TableText"/>
              <w:keepNext/>
            </w:pPr>
            <w:r w:rsidRPr="00612923">
              <w:t>27,045</w:t>
            </w:r>
          </w:p>
        </w:tc>
        <w:tc>
          <w:tcPr>
            <w:tcW w:w="1260" w:type="dxa"/>
            <w:shd w:val="clear" w:color="000000" w:fill="FFFFFF"/>
            <w:noWrap/>
            <w:vAlign w:val="center"/>
            <w:hideMark/>
          </w:tcPr>
          <w:p w:rsidR="00FD127A" w:rsidRPr="00612923" w:rsidRDefault="00FD127A" w:rsidP="00254844">
            <w:pPr>
              <w:pStyle w:val="TableText"/>
              <w:keepNext/>
            </w:pPr>
            <w:r w:rsidRPr="00612923">
              <w:t>1.71</w:t>
            </w:r>
          </w:p>
        </w:tc>
        <w:tc>
          <w:tcPr>
            <w:tcW w:w="1620" w:type="dxa"/>
            <w:shd w:val="clear" w:color="000000" w:fill="FFFFFF"/>
            <w:noWrap/>
            <w:vAlign w:val="center"/>
            <w:hideMark/>
          </w:tcPr>
          <w:p w:rsidR="00FD127A" w:rsidRPr="00612923" w:rsidRDefault="00FD127A" w:rsidP="00254844">
            <w:pPr>
              <w:pStyle w:val="TableText"/>
              <w:keepNext/>
            </w:pPr>
            <w:r w:rsidRPr="00612923">
              <w:t>0.43</w:t>
            </w:r>
          </w:p>
        </w:tc>
        <w:tc>
          <w:tcPr>
            <w:tcW w:w="1440" w:type="dxa"/>
            <w:shd w:val="clear" w:color="000000" w:fill="FFFFFF"/>
            <w:noWrap/>
            <w:vAlign w:val="center"/>
            <w:hideMark/>
          </w:tcPr>
          <w:p w:rsidR="00FD127A" w:rsidRPr="00612923" w:rsidRDefault="00FD127A" w:rsidP="00254844">
            <w:pPr>
              <w:pStyle w:val="TableText"/>
              <w:keepNext/>
            </w:pPr>
            <w:r w:rsidRPr="00612923">
              <w:t>25%</w:t>
            </w:r>
          </w:p>
        </w:tc>
        <w:tc>
          <w:tcPr>
            <w:tcW w:w="1206" w:type="dxa"/>
            <w:shd w:val="clear" w:color="000000" w:fill="FFFFFF"/>
            <w:noWrap/>
            <w:vAlign w:val="center"/>
            <w:hideMark/>
          </w:tcPr>
          <w:p w:rsidR="00FD127A" w:rsidRPr="00612923" w:rsidRDefault="00FD127A" w:rsidP="00254844">
            <w:pPr>
              <w:pStyle w:val="TableText"/>
              <w:keepNext/>
            </w:pPr>
            <w:r w:rsidRPr="00612923">
              <w:t>11.7</w:t>
            </w:r>
          </w:p>
        </w:tc>
        <w:tc>
          <w:tcPr>
            <w:tcW w:w="1139" w:type="dxa"/>
            <w:shd w:val="clear" w:color="000000" w:fill="FFFFFF"/>
            <w:noWrap/>
            <w:vAlign w:val="center"/>
            <w:hideMark/>
          </w:tcPr>
          <w:p w:rsidR="00FD127A" w:rsidRPr="00612923" w:rsidRDefault="00FD127A" w:rsidP="00254844">
            <w:pPr>
              <w:pStyle w:val="TableText"/>
              <w:keepNext/>
            </w:pPr>
            <w:r w:rsidRPr="00612923">
              <w:t>98</w:t>
            </w:r>
          </w:p>
        </w:tc>
      </w:tr>
      <w:tr w:rsidR="00FD127A" w:rsidRPr="00612923" w:rsidTr="00FD127A">
        <w:trPr>
          <w:trHeight w:val="315"/>
        </w:trPr>
        <w:tc>
          <w:tcPr>
            <w:tcW w:w="1275" w:type="dxa"/>
            <w:shd w:val="clear" w:color="000000" w:fill="FFFFFF"/>
            <w:noWrap/>
            <w:vAlign w:val="center"/>
            <w:hideMark/>
          </w:tcPr>
          <w:p w:rsidR="00FD127A" w:rsidRPr="00612923" w:rsidRDefault="00FD127A" w:rsidP="00254844">
            <w:pPr>
              <w:pStyle w:val="TableText"/>
              <w:keepNext/>
            </w:pPr>
            <w:r w:rsidRPr="00612923">
              <w:t>3-Oct-12</w:t>
            </w:r>
          </w:p>
        </w:tc>
        <w:tc>
          <w:tcPr>
            <w:tcW w:w="1440" w:type="dxa"/>
            <w:shd w:val="clear" w:color="000000" w:fill="FFFFFF"/>
            <w:noWrap/>
            <w:vAlign w:val="center"/>
            <w:hideMark/>
          </w:tcPr>
          <w:p w:rsidR="00FD127A" w:rsidRPr="00612923" w:rsidRDefault="00FD127A" w:rsidP="00254844">
            <w:pPr>
              <w:pStyle w:val="TableText"/>
              <w:keepNext/>
            </w:pPr>
            <w:r w:rsidRPr="00612923">
              <w:t>27,058</w:t>
            </w:r>
          </w:p>
        </w:tc>
        <w:tc>
          <w:tcPr>
            <w:tcW w:w="1260" w:type="dxa"/>
            <w:shd w:val="clear" w:color="000000" w:fill="FFFFFF"/>
            <w:noWrap/>
            <w:vAlign w:val="center"/>
            <w:hideMark/>
          </w:tcPr>
          <w:p w:rsidR="00FD127A" w:rsidRPr="00612923" w:rsidRDefault="00FD127A" w:rsidP="00254844">
            <w:pPr>
              <w:pStyle w:val="TableText"/>
              <w:keepNext/>
            </w:pPr>
            <w:r w:rsidRPr="00612923">
              <w:t>1.53</w:t>
            </w:r>
          </w:p>
        </w:tc>
        <w:tc>
          <w:tcPr>
            <w:tcW w:w="1620" w:type="dxa"/>
            <w:shd w:val="clear" w:color="000000" w:fill="FFFFFF"/>
            <w:noWrap/>
            <w:vAlign w:val="center"/>
            <w:hideMark/>
          </w:tcPr>
          <w:p w:rsidR="00FD127A" w:rsidRPr="00612923" w:rsidRDefault="00FD127A" w:rsidP="00254844">
            <w:pPr>
              <w:pStyle w:val="TableText"/>
              <w:keepNext/>
            </w:pPr>
            <w:r w:rsidRPr="00612923">
              <w:t>0.35</w:t>
            </w:r>
          </w:p>
        </w:tc>
        <w:tc>
          <w:tcPr>
            <w:tcW w:w="1440" w:type="dxa"/>
            <w:shd w:val="clear" w:color="000000" w:fill="FFFFFF"/>
            <w:noWrap/>
            <w:vAlign w:val="center"/>
            <w:hideMark/>
          </w:tcPr>
          <w:p w:rsidR="00FD127A" w:rsidRPr="00612923" w:rsidRDefault="00FD127A" w:rsidP="00254844">
            <w:pPr>
              <w:pStyle w:val="TableText"/>
              <w:keepNext/>
            </w:pPr>
            <w:r w:rsidRPr="00612923">
              <w:t>23%</w:t>
            </w:r>
          </w:p>
        </w:tc>
        <w:tc>
          <w:tcPr>
            <w:tcW w:w="1206" w:type="dxa"/>
            <w:shd w:val="clear" w:color="000000" w:fill="FFFFFF"/>
            <w:noWrap/>
            <w:vAlign w:val="center"/>
            <w:hideMark/>
          </w:tcPr>
          <w:p w:rsidR="00FD127A" w:rsidRPr="00612923" w:rsidRDefault="00FD127A" w:rsidP="00254844">
            <w:pPr>
              <w:pStyle w:val="TableText"/>
              <w:keepNext/>
            </w:pPr>
            <w:r w:rsidRPr="00612923">
              <w:t>9.4</w:t>
            </w:r>
          </w:p>
        </w:tc>
        <w:tc>
          <w:tcPr>
            <w:tcW w:w="1139" w:type="dxa"/>
            <w:shd w:val="clear" w:color="000000" w:fill="FFFFFF"/>
            <w:noWrap/>
            <w:vAlign w:val="center"/>
            <w:hideMark/>
          </w:tcPr>
          <w:p w:rsidR="00FD127A" w:rsidRPr="00612923" w:rsidRDefault="00FD127A" w:rsidP="00254844">
            <w:pPr>
              <w:pStyle w:val="TableText"/>
              <w:keepNext/>
            </w:pPr>
            <w:r w:rsidRPr="00612923">
              <w:t>92</w:t>
            </w:r>
          </w:p>
        </w:tc>
      </w:tr>
      <w:tr w:rsidR="00FD127A" w:rsidRPr="00612923" w:rsidTr="00FD127A">
        <w:trPr>
          <w:trHeight w:val="315"/>
        </w:trPr>
        <w:tc>
          <w:tcPr>
            <w:tcW w:w="1275" w:type="dxa"/>
            <w:shd w:val="clear" w:color="000000" w:fill="FFFFFF"/>
            <w:noWrap/>
            <w:vAlign w:val="center"/>
            <w:hideMark/>
          </w:tcPr>
          <w:p w:rsidR="00FD127A" w:rsidRPr="00612923" w:rsidRDefault="00FD127A" w:rsidP="00FD127A">
            <w:pPr>
              <w:pStyle w:val="TableText"/>
              <w:rPr>
                <w:b/>
                <w:bCs/>
              </w:rPr>
            </w:pPr>
            <w:r w:rsidRPr="00612923">
              <w:rPr>
                <w:b/>
                <w:bCs/>
              </w:rPr>
              <w:t>Total</w:t>
            </w:r>
          </w:p>
        </w:tc>
        <w:tc>
          <w:tcPr>
            <w:tcW w:w="1440" w:type="dxa"/>
            <w:shd w:val="clear" w:color="000000" w:fill="FFFFFF"/>
            <w:noWrap/>
            <w:vAlign w:val="center"/>
            <w:hideMark/>
          </w:tcPr>
          <w:p w:rsidR="00FD127A" w:rsidRPr="00612923" w:rsidRDefault="00FD127A" w:rsidP="00FD127A">
            <w:pPr>
              <w:pStyle w:val="TableText"/>
              <w:rPr>
                <w:b/>
                <w:bCs/>
              </w:rPr>
            </w:pPr>
            <w:r w:rsidRPr="00612923">
              <w:rPr>
                <w:b/>
                <w:bCs/>
              </w:rPr>
              <w:t>22,132</w:t>
            </w:r>
          </w:p>
        </w:tc>
        <w:tc>
          <w:tcPr>
            <w:tcW w:w="1260" w:type="dxa"/>
            <w:shd w:val="clear" w:color="000000" w:fill="FFFFFF"/>
            <w:noWrap/>
            <w:vAlign w:val="center"/>
            <w:hideMark/>
          </w:tcPr>
          <w:p w:rsidR="00FD127A" w:rsidRPr="00612923" w:rsidRDefault="00FD127A" w:rsidP="00FD127A">
            <w:pPr>
              <w:pStyle w:val="TableText"/>
              <w:rPr>
                <w:b/>
                <w:bCs/>
              </w:rPr>
            </w:pPr>
            <w:r w:rsidRPr="00612923">
              <w:rPr>
                <w:b/>
                <w:bCs/>
              </w:rPr>
              <w:t>1.65</w:t>
            </w:r>
          </w:p>
        </w:tc>
        <w:tc>
          <w:tcPr>
            <w:tcW w:w="1620" w:type="dxa"/>
            <w:shd w:val="clear" w:color="000000" w:fill="FFFFFF"/>
            <w:noWrap/>
            <w:vAlign w:val="center"/>
            <w:hideMark/>
          </w:tcPr>
          <w:p w:rsidR="00FD127A" w:rsidRPr="00612923" w:rsidRDefault="00FD127A" w:rsidP="00FD127A">
            <w:pPr>
              <w:pStyle w:val="TableText"/>
              <w:rPr>
                <w:b/>
                <w:bCs/>
              </w:rPr>
            </w:pPr>
            <w:r w:rsidRPr="00612923">
              <w:rPr>
                <w:b/>
                <w:bCs/>
              </w:rPr>
              <w:t>0.42</w:t>
            </w:r>
          </w:p>
        </w:tc>
        <w:tc>
          <w:tcPr>
            <w:tcW w:w="1440" w:type="dxa"/>
            <w:shd w:val="clear" w:color="000000" w:fill="FFFFFF"/>
            <w:noWrap/>
            <w:vAlign w:val="center"/>
            <w:hideMark/>
          </w:tcPr>
          <w:p w:rsidR="00FD127A" w:rsidRPr="00612923" w:rsidRDefault="00FD127A" w:rsidP="00FD127A">
            <w:pPr>
              <w:pStyle w:val="TableText"/>
              <w:rPr>
                <w:b/>
                <w:bCs/>
              </w:rPr>
            </w:pPr>
            <w:r w:rsidRPr="00612923">
              <w:rPr>
                <w:b/>
                <w:bCs/>
              </w:rPr>
              <w:t>25%</w:t>
            </w:r>
          </w:p>
        </w:tc>
        <w:tc>
          <w:tcPr>
            <w:tcW w:w="1206" w:type="dxa"/>
            <w:shd w:val="clear" w:color="000000" w:fill="FFFFFF"/>
            <w:noWrap/>
            <w:vAlign w:val="center"/>
            <w:hideMark/>
          </w:tcPr>
          <w:p w:rsidR="00FD127A" w:rsidRPr="00612923" w:rsidRDefault="00FD127A" w:rsidP="00FD127A">
            <w:pPr>
              <w:pStyle w:val="TableText"/>
              <w:rPr>
                <w:b/>
                <w:bCs/>
              </w:rPr>
            </w:pPr>
            <w:r w:rsidRPr="00612923">
              <w:rPr>
                <w:b/>
                <w:bCs/>
              </w:rPr>
              <w:t>9.2</w:t>
            </w:r>
          </w:p>
        </w:tc>
        <w:tc>
          <w:tcPr>
            <w:tcW w:w="1139" w:type="dxa"/>
            <w:shd w:val="clear" w:color="000000" w:fill="FFFFFF"/>
            <w:noWrap/>
            <w:vAlign w:val="center"/>
            <w:hideMark/>
          </w:tcPr>
          <w:p w:rsidR="00FD127A" w:rsidRPr="00612923" w:rsidRDefault="00FD127A" w:rsidP="00FD127A">
            <w:pPr>
              <w:pStyle w:val="TableText"/>
              <w:rPr>
                <w:b/>
                <w:bCs/>
              </w:rPr>
            </w:pPr>
            <w:r w:rsidRPr="00612923">
              <w:rPr>
                <w:b/>
                <w:bCs/>
              </w:rPr>
              <w:t>92</w:t>
            </w:r>
          </w:p>
        </w:tc>
      </w:tr>
    </w:tbl>
    <w:p w:rsidR="00FD127A" w:rsidRPr="00612923" w:rsidRDefault="00FD127A" w:rsidP="00FD127A">
      <w:pPr>
        <w:pStyle w:val="BodyParaAfterTableFigure"/>
      </w:pPr>
      <w:bookmarkStart w:id="33" w:name="_Toc349193884"/>
      <w:r w:rsidRPr="00612923">
        <w:t>In order to better understand any changes in program performance over the past two years, Figure 4</w:t>
      </w:r>
      <w:r w:rsidR="00387990" w:rsidRPr="00612923">
        <w:noBreakHyphen/>
      </w:r>
      <w:r w:rsidRPr="00612923">
        <w:t>3 shows a scatter plot of average event impacts against average event temperatures for SmartRate-only and dually-enrolled customers for all events in 2011 and 2012.</w:t>
      </w:r>
      <w:r w:rsidRPr="00612923">
        <w:rPr>
          <w:rStyle w:val="FootnoteReference"/>
        </w:rPr>
        <w:footnoteReference w:id="16"/>
      </w:r>
      <w:r w:rsidRPr="00612923">
        <w:t xml:space="preserve">  Two major differences show up between 2011 and 2012.  First, SmartRate-only customers tended to produce larger average load impacts in 2012 for similar weather conditions.  Examination of reference loads and percentage (as opposed to absolute) reductions did not provide any further insight into this issue.  That is, percentage reductions for SmartRate-only customers also tended to be higher in 2012.  Given how much the population increased, it is not too surprising that different types of customers would sign up.  Additionally, it is our understanding </w:t>
      </w:r>
      <w:r w:rsidR="00465359">
        <w:t xml:space="preserve">that </w:t>
      </w:r>
      <w:r w:rsidRPr="00612923">
        <w:t>PG&amp;E used a sophisticated targeting method to try to solicit</w:t>
      </w:r>
      <w:r w:rsidR="00387990" w:rsidRPr="00612923">
        <w:t> </w:t>
      </w:r>
      <w:r w:rsidRPr="00612923">
        <w:t xml:space="preserve">customers likely to provide higher load reductions.  This may be evidence that </w:t>
      </w:r>
      <w:r w:rsidR="00465359">
        <w:t xml:space="preserve">speaks to the efficacy of </w:t>
      </w:r>
      <w:r w:rsidR="00465359" w:rsidRPr="00612923">
        <w:t>th</w:t>
      </w:r>
      <w:r w:rsidR="00465359">
        <w:t>e method</w:t>
      </w:r>
      <w:r w:rsidRPr="00612923">
        <w:t>.</w:t>
      </w:r>
    </w:p>
    <w:p w:rsidR="00FD127A" w:rsidRPr="00612923" w:rsidRDefault="00FD127A" w:rsidP="00FD127A">
      <w:pPr>
        <w:pStyle w:val="BodyParagraph"/>
      </w:pPr>
      <w:r w:rsidRPr="00612923">
        <w:t xml:space="preserve">Second, both SmartRate-only and dually-enrolled customers had noticeably cooler weather in 2012 than 2011, on average.  Given, that, dually-enrolled customers produced load impacts broadly in line with </w:t>
      </w:r>
      <w:r w:rsidR="001622B7" w:rsidRPr="00612923">
        <w:t>201</w:t>
      </w:r>
      <w:r w:rsidR="001622B7">
        <w:t>1</w:t>
      </w:r>
      <w:r w:rsidR="0045539A">
        <w:t xml:space="preserve"> </w:t>
      </w:r>
      <w:r w:rsidRPr="00612923">
        <w:t>impacts.</w:t>
      </w:r>
    </w:p>
    <w:p w:rsidR="00FD127A" w:rsidRPr="00612923" w:rsidRDefault="00FD127A" w:rsidP="00FD127A">
      <w:pPr>
        <w:pStyle w:val="TableFigureCaption"/>
      </w:pPr>
      <w:r w:rsidRPr="00612923">
        <w:lastRenderedPageBreak/>
        <w:t>Figure 4-3: SmartRate-only and Dually</w:t>
      </w:r>
      <w:r w:rsidR="00387990" w:rsidRPr="00612923">
        <w:t>-e</w:t>
      </w:r>
      <w:r w:rsidRPr="00612923">
        <w:t xml:space="preserve">nrolled Ex Post Load Impact for 2011 and 2012 </w:t>
      </w:r>
    </w:p>
    <w:p w:rsidR="00FD127A" w:rsidRPr="00612923" w:rsidRDefault="00FD127A" w:rsidP="00FD127A">
      <w:pPr>
        <w:pStyle w:val="BodyParagraph"/>
      </w:pPr>
      <w:r w:rsidRPr="00612923">
        <w:rPr>
          <w:noProof/>
        </w:rPr>
        <w:drawing>
          <wp:inline distT="0" distB="0" distL="0" distR="0">
            <wp:extent cx="5943600" cy="3268980"/>
            <wp:effectExtent l="19050" t="0" r="19050" b="7620"/>
            <wp:docPr id="1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D127A" w:rsidRPr="00612923" w:rsidRDefault="00FD127A" w:rsidP="00FD127A">
      <w:pPr>
        <w:pStyle w:val="Heading2"/>
      </w:pPr>
      <w:bookmarkStart w:id="34" w:name="_Toc352567299"/>
      <w:r w:rsidRPr="00612923">
        <w:t>Load Impacts for Specific Customer Segments</w:t>
      </w:r>
      <w:bookmarkEnd w:id="33"/>
      <w:bookmarkEnd w:id="34"/>
    </w:p>
    <w:p w:rsidR="00FD127A" w:rsidRPr="00612923" w:rsidRDefault="00FD127A" w:rsidP="00FD127A">
      <w:pPr>
        <w:pStyle w:val="BodyBeforeBullet"/>
      </w:pPr>
      <w:r w:rsidRPr="00612923">
        <w:t>This subsection examines how load impacts vary across a number of customer segments, including:</w:t>
      </w:r>
    </w:p>
    <w:p w:rsidR="00FD127A" w:rsidRPr="00612923" w:rsidRDefault="00FD127A" w:rsidP="00FD127A">
      <w:pPr>
        <w:pStyle w:val="Bullets"/>
      </w:pPr>
      <w:r w:rsidRPr="00612923">
        <w:t>Local capacity area;</w:t>
      </w:r>
    </w:p>
    <w:p w:rsidR="00FD127A" w:rsidRPr="00612923" w:rsidRDefault="00FD127A" w:rsidP="00FD127A">
      <w:pPr>
        <w:pStyle w:val="Bullets"/>
      </w:pPr>
      <w:r w:rsidRPr="00612923">
        <w:t>CARE status;</w:t>
      </w:r>
    </w:p>
    <w:p w:rsidR="00FD127A" w:rsidRPr="00612923" w:rsidRDefault="00FD127A" w:rsidP="00FD127A">
      <w:pPr>
        <w:pStyle w:val="Bullets"/>
      </w:pPr>
      <w:r w:rsidRPr="00612923">
        <w:t>Number of successful notifications;</w:t>
      </w:r>
    </w:p>
    <w:p w:rsidR="00FD127A" w:rsidRPr="00612923" w:rsidRDefault="00FD127A" w:rsidP="00FD127A">
      <w:pPr>
        <w:pStyle w:val="Bullets"/>
      </w:pPr>
      <w:r w:rsidRPr="00612923">
        <w:t>Central AC saturation and temperature; and</w:t>
      </w:r>
    </w:p>
    <w:p w:rsidR="00FD127A" w:rsidRPr="00612923" w:rsidRDefault="00FD127A" w:rsidP="00FD127A">
      <w:pPr>
        <w:pStyle w:val="BulletLast"/>
      </w:pPr>
      <w:r w:rsidRPr="00612923">
        <w:t>The characteristics of customers who provide greater-than-average load impacts.</w:t>
      </w:r>
    </w:p>
    <w:p w:rsidR="00FD127A" w:rsidRPr="00612923" w:rsidRDefault="00FD127A" w:rsidP="00FD127A">
      <w:pPr>
        <w:pStyle w:val="Heading3"/>
      </w:pPr>
      <w:bookmarkStart w:id="35" w:name="_Toc349193885"/>
      <w:bookmarkStart w:id="36" w:name="_Toc352567300"/>
      <w:r w:rsidRPr="00612923">
        <w:t>Load Impacts by Local Capacity Area</w:t>
      </w:r>
      <w:bookmarkEnd w:id="35"/>
      <w:bookmarkEnd w:id="36"/>
    </w:p>
    <w:p w:rsidR="00FD127A" w:rsidRPr="00612923" w:rsidRDefault="00FD127A" w:rsidP="00FD127A">
      <w:pPr>
        <w:pStyle w:val="BodyParagraph"/>
      </w:pPr>
      <w:r w:rsidRPr="00612923">
        <w:t>PG&amp;E’s service territory is climatically diverse and the variation in temperature and AC use is significant, especially on summer days when the coastal fog is thick but the inland valleys are very hot.  PG&amp;E is comprised of eight resource planning zones known as local capacity areas (LCAs).</w:t>
      </w:r>
      <w:r w:rsidRPr="00612923">
        <w:rPr>
          <w:rStyle w:val="FootnoteReference"/>
        </w:rPr>
        <w:footnoteReference w:id="17"/>
      </w:r>
      <w:r w:rsidRPr="00612923">
        <w:t xml:space="preserve">  These areas are defined by the California Independent System Operator (CAISO) based on transmission lines and the location of generation.  LCAs differ significantly in terms of climate and population characteristics.  Kern and Fresno are the hottest </w:t>
      </w:r>
      <w:r w:rsidR="00A65D57" w:rsidRPr="00612923">
        <w:t xml:space="preserve">LCAs </w:t>
      </w:r>
      <w:r w:rsidRPr="00612923">
        <w:t>which, all other things equal</w:t>
      </w:r>
      <w:r w:rsidR="00A65D57">
        <w:t>,</w:t>
      </w:r>
      <w:r w:rsidRPr="00612923">
        <w:t xml:space="preserve"> would produce larger load impacts compared with milder climate regions.  However, as shown in Table 2-2, enrollment in some of these warmer LCAs is dominated by low income customers on the CARE rate discount program.  These customers reduce electricity use during events significantly less than customers who are not enrolled in the CARE program.  As such, the average load reduction across LCAs is influenced by at least two countervailing factors.  </w:t>
      </w:r>
    </w:p>
    <w:p w:rsidR="00FD127A" w:rsidRPr="00612923" w:rsidRDefault="00FD127A" w:rsidP="00FD127A">
      <w:pPr>
        <w:pStyle w:val="BodyParagraph"/>
      </w:pPr>
      <w:r w:rsidRPr="00612923">
        <w:lastRenderedPageBreak/>
        <w:t xml:space="preserve">Tables 4-3 and 4-4 show the average hourly load reduction for seven of the eight LCAs in PG&amp;E’s service territory for SmartRate-only and dually-enrolled customers, respectively.  The impact estimates in this table are based on SmartMeter data from SmartRate and matched control customers.  Kern, Greater Fresno and Sierra provide the highest average load impacts.  Kern and Greater Fresno are also the hottest LCAs.  Sierra stands out as providing quite high load impacts while not having particularly high average temperatures. </w:t>
      </w:r>
    </w:p>
    <w:p w:rsidR="00FD127A" w:rsidRPr="00612923" w:rsidRDefault="00FD127A" w:rsidP="00FD127A">
      <w:pPr>
        <w:pStyle w:val="TableFigureCaption"/>
      </w:pPr>
      <w:r w:rsidRPr="00612923">
        <w:t xml:space="preserve">Table 4-3: SmartRate Average Hourly Load Reduction </w:t>
      </w:r>
      <w:r w:rsidRPr="00612923">
        <w:br/>
        <w:t xml:space="preserve">for Event Period (2 to 7 PM) by Local Capacity Area </w:t>
      </w:r>
      <w:r w:rsidRPr="00612923">
        <w:br/>
        <w:t>(SmartRate-</w:t>
      </w:r>
      <w:r w:rsidR="00387990" w:rsidRPr="00612923">
        <w:t>o</w:t>
      </w:r>
      <w:r w:rsidRPr="00612923">
        <w:t>nly Participants)</w:t>
      </w:r>
    </w:p>
    <w:tbl>
      <w:tblPr>
        <w:tblW w:w="7899"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5"/>
        <w:gridCol w:w="1170"/>
        <w:gridCol w:w="1087"/>
        <w:gridCol w:w="1253"/>
        <w:gridCol w:w="1170"/>
        <w:gridCol w:w="1107"/>
        <w:gridCol w:w="1107"/>
      </w:tblGrid>
      <w:tr w:rsidR="00FD127A" w:rsidRPr="00612923" w:rsidTr="00FD127A">
        <w:trPr>
          <w:trHeight w:val="975"/>
          <w:jc w:val="center"/>
        </w:trPr>
        <w:tc>
          <w:tcPr>
            <w:tcW w:w="1005" w:type="dxa"/>
            <w:tcBorders>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Local Capacity Area</w:t>
            </w:r>
          </w:p>
        </w:tc>
        <w:tc>
          <w:tcPr>
            <w:tcW w:w="117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 of SmartRate Customers</w:t>
            </w:r>
          </w:p>
        </w:tc>
        <w:tc>
          <w:tcPr>
            <w:tcW w:w="1087"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Avg. Reference Load (kW)</w:t>
            </w:r>
          </w:p>
        </w:tc>
        <w:tc>
          <w:tcPr>
            <w:tcW w:w="1253"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Avg. Load Reduction (kW)</w:t>
            </w:r>
          </w:p>
        </w:tc>
        <w:tc>
          <w:tcPr>
            <w:tcW w:w="117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 Load Reduction</w:t>
            </w:r>
          </w:p>
        </w:tc>
        <w:tc>
          <w:tcPr>
            <w:tcW w:w="1107"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Aggregate Load Reduction (MW)</w:t>
            </w:r>
          </w:p>
        </w:tc>
        <w:tc>
          <w:tcPr>
            <w:tcW w:w="1107" w:type="dxa"/>
            <w:tcBorders>
              <w:lef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Average Temp.  During Event (°F)</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Greater Bay Area</w:t>
            </w:r>
          </w:p>
        </w:tc>
        <w:tc>
          <w:tcPr>
            <w:tcW w:w="1170" w:type="dxa"/>
            <w:shd w:val="clear" w:color="000000" w:fill="FFFFFF"/>
            <w:vAlign w:val="center"/>
            <w:hideMark/>
          </w:tcPr>
          <w:p w:rsidR="00FD127A" w:rsidRPr="00612923" w:rsidRDefault="00FD127A" w:rsidP="00254844">
            <w:pPr>
              <w:pStyle w:val="TableText"/>
              <w:keepNext/>
            </w:pPr>
            <w:r w:rsidRPr="00612923">
              <w:t>15,922</w:t>
            </w:r>
          </w:p>
        </w:tc>
        <w:tc>
          <w:tcPr>
            <w:tcW w:w="1087" w:type="dxa"/>
            <w:shd w:val="clear" w:color="000000" w:fill="FFFFFF"/>
            <w:vAlign w:val="center"/>
            <w:hideMark/>
          </w:tcPr>
          <w:p w:rsidR="00FD127A" w:rsidRPr="00612923" w:rsidRDefault="00FD127A" w:rsidP="00254844">
            <w:pPr>
              <w:pStyle w:val="TableText"/>
              <w:keepNext/>
            </w:pPr>
            <w:r w:rsidRPr="00612923">
              <w:t>0.77</w:t>
            </w:r>
          </w:p>
        </w:tc>
        <w:tc>
          <w:tcPr>
            <w:tcW w:w="1253" w:type="dxa"/>
            <w:shd w:val="clear" w:color="000000" w:fill="FFFFFF"/>
            <w:vAlign w:val="center"/>
            <w:hideMark/>
          </w:tcPr>
          <w:p w:rsidR="00FD127A" w:rsidRPr="00612923" w:rsidRDefault="00FD127A" w:rsidP="00254844">
            <w:pPr>
              <w:pStyle w:val="TableText"/>
              <w:keepNext/>
            </w:pPr>
            <w:r w:rsidRPr="00612923">
              <w:t>0.10</w:t>
            </w:r>
          </w:p>
        </w:tc>
        <w:tc>
          <w:tcPr>
            <w:tcW w:w="1170" w:type="dxa"/>
            <w:shd w:val="clear" w:color="000000" w:fill="FFFFFF"/>
            <w:vAlign w:val="center"/>
            <w:hideMark/>
          </w:tcPr>
          <w:p w:rsidR="00FD127A" w:rsidRPr="00612923" w:rsidRDefault="00FD127A" w:rsidP="00254844">
            <w:pPr>
              <w:pStyle w:val="TableText"/>
              <w:keepNext/>
            </w:pPr>
            <w:r w:rsidRPr="00612923">
              <w:t>13%</w:t>
            </w:r>
          </w:p>
        </w:tc>
        <w:tc>
          <w:tcPr>
            <w:tcW w:w="1107" w:type="dxa"/>
            <w:shd w:val="clear" w:color="000000" w:fill="FFFFFF"/>
            <w:vAlign w:val="center"/>
            <w:hideMark/>
          </w:tcPr>
          <w:p w:rsidR="00FD127A" w:rsidRPr="00612923" w:rsidRDefault="00FD127A" w:rsidP="00254844">
            <w:pPr>
              <w:pStyle w:val="TableText"/>
              <w:keepNext/>
            </w:pPr>
            <w:r w:rsidRPr="00612923">
              <w:t>1.6</w:t>
            </w:r>
          </w:p>
        </w:tc>
        <w:tc>
          <w:tcPr>
            <w:tcW w:w="1107" w:type="dxa"/>
            <w:shd w:val="clear" w:color="000000" w:fill="FFFFFF"/>
            <w:vAlign w:val="center"/>
            <w:hideMark/>
          </w:tcPr>
          <w:p w:rsidR="00FD127A" w:rsidRPr="00612923" w:rsidRDefault="00FD127A" w:rsidP="00254844">
            <w:pPr>
              <w:pStyle w:val="TableText"/>
              <w:keepNext/>
            </w:pPr>
            <w:r w:rsidRPr="00612923">
              <w:t>79</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Greater Fresno</w:t>
            </w:r>
          </w:p>
        </w:tc>
        <w:tc>
          <w:tcPr>
            <w:tcW w:w="1170" w:type="dxa"/>
            <w:shd w:val="clear" w:color="000000" w:fill="FFFFFF"/>
            <w:vAlign w:val="center"/>
            <w:hideMark/>
          </w:tcPr>
          <w:p w:rsidR="00FD127A" w:rsidRPr="00612923" w:rsidRDefault="00FD127A" w:rsidP="00254844">
            <w:pPr>
              <w:pStyle w:val="TableText"/>
              <w:keepNext/>
            </w:pPr>
            <w:r w:rsidRPr="00612923">
              <w:t>4,036</w:t>
            </w:r>
          </w:p>
        </w:tc>
        <w:tc>
          <w:tcPr>
            <w:tcW w:w="1087" w:type="dxa"/>
            <w:shd w:val="clear" w:color="000000" w:fill="FFFFFF"/>
            <w:vAlign w:val="center"/>
            <w:hideMark/>
          </w:tcPr>
          <w:p w:rsidR="00FD127A" w:rsidRPr="00612923" w:rsidRDefault="00FD127A" w:rsidP="00254844">
            <w:pPr>
              <w:pStyle w:val="TableText"/>
              <w:keepNext/>
            </w:pPr>
            <w:r w:rsidRPr="00612923">
              <w:t>2.21</w:t>
            </w:r>
          </w:p>
        </w:tc>
        <w:tc>
          <w:tcPr>
            <w:tcW w:w="1253" w:type="dxa"/>
            <w:shd w:val="clear" w:color="000000" w:fill="FFFFFF"/>
            <w:vAlign w:val="center"/>
            <w:hideMark/>
          </w:tcPr>
          <w:p w:rsidR="00FD127A" w:rsidRPr="00612923" w:rsidRDefault="00FD127A" w:rsidP="00254844">
            <w:pPr>
              <w:pStyle w:val="TableText"/>
              <w:keepNext/>
            </w:pPr>
            <w:r w:rsidRPr="00612923">
              <w:t>0.31</w:t>
            </w:r>
          </w:p>
        </w:tc>
        <w:tc>
          <w:tcPr>
            <w:tcW w:w="1170" w:type="dxa"/>
            <w:shd w:val="clear" w:color="000000" w:fill="FFFFFF"/>
            <w:vAlign w:val="center"/>
            <w:hideMark/>
          </w:tcPr>
          <w:p w:rsidR="00FD127A" w:rsidRPr="00612923" w:rsidRDefault="00FD127A" w:rsidP="00254844">
            <w:pPr>
              <w:pStyle w:val="TableText"/>
              <w:keepNext/>
            </w:pPr>
            <w:r w:rsidRPr="00612923">
              <w:t>14%</w:t>
            </w:r>
          </w:p>
        </w:tc>
        <w:tc>
          <w:tcPr>
            <w:tcW w:w="1107" w:type="dxa"/>
            <w:shd w:val="clear" w:color="000000" w:fill="FFFFFF"/>
            <w:vAlign w:val="center"/>
            <w:hideMark/>
          </w:tcPr>
          <w:p w:rsidR="00FD127A" w:rsidRPr="00612923" w:rsidRDefault="00FD127A" w:rsidP="00254844">
            <w:pPr>
              <w:pStyle w:val="TableText"/>
              <w:keepNext/>
            </w:pPr>
            <w:r w:rsidRPr="00612923">
              <w:t>1.3</w:t>
            </w:r>
          </w:p>
        </w:tc>
        <w:tc>
          <w:tcPr>
            <w:tcW w:w="1107" w:type="dxa"/>
            <w:shd w:val="clear" w:color="000000" w:fill="FFFFFF"/>
            <w:vAlign w:val="center"/>
            <w:hideMark/>
          </w:tcPr>
          <w:p w:rsidR="00FD127A" w:rsidRPr="00612923" w:rsidRDefault="00FD127A" w:rsidP="00254844">
            <w:pPr>
              <w:pStyle w:val="TableText"/>
              <w:keepNext/>
            </w:pPr>
            <w:r w:rsidRPr="00612923">
              <w:t>100</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Kern</w:t>
            </w:r>
          </w:p>
        </w:tc>
        <w:tc>
          <w:tcPr>
            <w:tcW w:w="1170" w:type="dxa"/>
            <w:shd w:val="clear" w:color="000000" w:fill="FFFFFF"/>
            <w:vAlign w:val="center"/>
            <w:hideMark/>
          </w:tcPr>
          <w:p w:rsidR="00FD127A" w:rsidRPr="00612923" w:rsidRDefault="00FD127A" w:rsidP="00254844">
            <w:pPr>
              <w:pStyle w:val="TableText"/>
              <w:keepNext/>
            </w:pPr>
            <w:r w:rsidRPr="00612923">
              <w:t>5,360</w:t>
            </w:r>
          </w:p>
        </w:tc>
        <w:tc>
          <w:tcPr>
            <w:tcW w:w="1087" w:type="dxa"/>
            <w:shd w:val="clear" w:color="000000" w:fill="FFFFFF"/>
            <w:vAlign w:val="center"/>
            <w:hideMark/>
          </w:tcPr>
          <w:p w:rsidR="00FD127A" w:rsidRPr="00612923" w:rsidRDefault="00FD127A" w:rsidP="00254844">
            <w:pPr>
              <w:pStyle w:val="TableText"/>
              <w:keepNext/>
            </w:pPr>
            <w:r w:rsidRPr="00612923">
              <w:t>2.43</w:t>
            </w:r>
          </w:p>
        </w:tc>
        <w:tc>
          <w:tcPr>
            <w:tcW w:w="1253" w:type="dxa"/>
            <w:shd w:val="clear" w:color="000000" w:fill="FFFFFF"/>
            <w:vAlign w:val="center"/>
            <w:hideMark/>
          </w:tcPr>
          <w:p w:rsidR="00FD127A" w:rsidRPr="00612923" w:rsidRDefault="00FD127A" w:rsidP="00254844">
            <w:pPr>
              <w:pStyle w:val="TableText"/>
              <w:keepNext/>
            </w:pPr>
            <w:r w:rsidRPr="00612923">
              <w:t>0.27</w:t>
            </w:r>
          </w:p>
        </w:tc>
        <w:tc>
          <w:tcPr>
            <w:tcW w:w="1170" w:type="dxa"/>
            <w:shd w:val="clear" w:color="000000" w:fill="FFFFFF"/>
            <w:vAlign w:val="center"/>
            <w:hideMark/>
          </w:tcPr>
          <w:p w:rsidR="00FD127A" w:rsidRPr="00612923" w:rsidRDefault="00FD127A" w:rsidP="00254844">
            <w:pPr>
              <w:pStyle w:val="TableText"/>
              <w:keepNext/>
            </w:pPr>
            <w:r w:rsidRPr="00612923">
              <w:t>11%</w:t>
            </w:r>
          </w:p>
        </w:tc>
        <w:tc>
          <w:tcPr>
            <w:tcW w:w="1107" w:type="dxa"/>
            <w:shd w:val="clear" w:color="000000" w:fill="FFFFFF"/>
            <w:vAlign w:val="center"/>
            <w:hideMark/>
          </w:tcPr>
          <w:p w:rsidR="00FD127A" w:rsidRPr="00612923" w:rsidRDefault="00FD127A" w:rsidP="00254844">
            <w:pPr>
              <w:pStyle w:val="TableText"/>
              <w:keepNext/>
            </w:pPr>
            <w:r w:rsidRPr="00612923">
              <w:t>1.4</w:t>
            </w:r>
          </w:p>
        </w:tc>
        <w:tc>
          <w:tcPr>
            <w:tcW w:w="1107" w:type="dxa"/>
            <w:shd w:val="clear" w:color="000000" w:fill="FFFFFF"/>
            <w:vAlign w:val="center"/>
            <w:hideMark/>
          </w:tcPr>
          <w:p w:rsidR="00FD127A" w:rsidRPr="00612923" w:rsidRDefault="00FD127A" w:rsidP="00254844">
            <w:pPr>
              <w:pStyle w:val="TableText"/>
              <w:keepNext/>
            </w:pPr>
            <w:r w:rsidRPr="00612923">
              <w:t>99</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Northern Coast</w:t>
            </w:r>
          </w:p>
        </w:tc>
        <w:tc>
          <w:tcPr>
            <w:tcW w:w="1170" w:type="dxa"/>
            <w:shd w:val="clear" w:color="000000" w:fill="FFFFFF"/>
            <w:vAlign w:val="center"/>
            <w:hideMark/>
          </w:tcPr>
          <w:p w:rsidR="00FD127A" w:rsidRPr="00612923" w:rsidRDefault="00FD127A" w:rsidP="00254844">
            <w:pPr>
              <w:pStyle w:val="TableText"/>
              <w:keepNext/>
            </w:pPr>
            <w:r w:rsidRPr="00612923">
              <w:t>1,582</w:t>
            </w:r>
          </w:p>
        </w:tc>
        <w:tc>
          <w:tcPr>
            <w:tcW w:w="1087" w:type="dxa"/>
            <w:shd w:val="clear" w:color="000000" w:fill="FFFFFF"/>
            <w:vAlign w:val="center"/>
            <w:hideMark/>
          </w:tcPr>
          <w:p w:rsidR="00FD127A" w:rsidRPr="00612923" w:rsidRDefault="00FD127A" w:rsidP="00254844">
            <w:pPr>
              <w:pStyle w:val="TableText"/>
              <w:keepNext/>
            </w:pPr>
            <w:r w:rsidRPr="00612923">
              <w:t>0.95</w:t>
            </w:r>
          </w:p>
        </w:tc>
        <w:tc>
          <w:tcPr>
            <w:tcW w:w="1253" w:type="dxa"/>
            <w:shd w:val="clear" w:color="000000" w:fill="FFFFFF"/>
            <w:vAlign w:val="center"/>
            <w:hideMark/>
          </w:tcPr>
          <w:p w:rsidR="00FD127A" w:rsidRPr="00612923" w:rsidRDefault="00FD127A" w:rsidP="00254844">
            <w:pPr>
              <w:pStyle w:val="TableText"/>
              <w:keepNext/>
            </w:pPr>
            <w:r w:rsidRPr="00612923">
              <w:t>0.17</w:t>
            </w:r>
          </w:p>
        </w:tc>
        <w:tc>
          <w:tcPr>
            <w:tcW w:w="1170" w:type="dxa"/>
            <w:shd w:val="clear" w:color="000000" w:fill="FFFFFF"/>
            <w:vAlign w:val="center"/>
            <w:hideMark/>
          </w:tcPr>
          <w:p w:rsidR="00FD127A" w:rsidRPr="00612923" w:rsidRDefault="00FD127A" w:rsidP="00254844">
            <w:pPr>
              <w:pStyle w:val="TableText"/>
              <w:keepNext/>
            </w:pPr>
            <w:r w:rsidRPr="00612923">
              <w:t>18%</w:t>
            </w:r>
          </w:p>
        </w:tc>
        <w:tc>
          <w:tcPr>
            <w:tcW w:w="1107" w:type="dxa"/>
            <w:shd w:val="clear" w:color="000000" w:fill="FFFFFF"/>
            <w:vAlign w:val="center"/>
            <w:hideMark/>
          </w:tcPr>
          <w:p w:rsidR="00FD127A" w:rsidRPr="00612923" w:rsidRDefault="00FD127A" w:rsidP="00254844">
            <w:pPr>
              <w:pStyle w:val="TableText"/>
              <w:keepNext/>
            </w:pPr>
            <w:r w:rsidRPr="00612923">
              <w:t>0.3</w:t>
            </w:r>
          </w:p>
        </w:tc>
        <w:tc>
          <w:tcPr>
            <w:tcW w:w="1107" w:type="dxa"/>
            <w:shd w:val="clear" w:color="000000" w:fill="FFFFFF"/>
            <w:vAlign w:val="center"/>
            <w:hideMark/>
          </w:tcPr>
          <w:p w:rsidR="00FD127A" w:rsidRPr="00612923" w:rsidRDefault="00FD127A" w:rsidP="00254844">
            <w:pPr>
              <w:pStyle w:val="TableText"/>
              <w:keepNext/>
            </w:pPr>
            <w:r w:rsidRPr="00612923">
              <w:t>88</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Other</w:t>
            </w:r>
          </w:p>
        </w:tc>
        <w:tc>
          <w:tcPr>
            <w:tcW w:w="1170" w:type="dxa"/>
            <w:shd w:val="clear" w:color="000000" w:fill="FFFFFF"/>
            <w:vAlign w:val="center"/>
            <w:hideMark/>
          </w:tcPr>
          <w:p w:rsidR="00FD127A" w:rsidRPr="00612923" w:rsidRDefault="00FD127A" w:rsidP="00254844">
            <w:pPr>
              <w:pStyle w:val="TableText"/>
              <w:keepNext/>
            </w:pPr>
            <w:r w:rsidRPr="00612923">
              <w:t>5,648</w:t>
            </w:r>
          </w:p>
        </w:tc>
        <w:tc>
          <w:tcPr>
            <w:tcW w:w="1087" w:type="dxa"/>
            <w:shd w:val="clear" w:color="000000" w:fill="FFFFFF"/>
            <w:vAlign w:val="center"/>
            <w:hideMark/>
          </w:tcPr>
          <w:p w:rsidR="00FD127A" w:rsidRPr="00612923" w:rsidRDefault="00FD127A" w:rsidP="00254844">
            <w:pPr>
              <w:pStyle w:val="TableText"/>
              <w:keepNext/>
            </w:pPr>
            <w:r w:rsidRPr="00612923">
              <w:t>1.62</w:t>
            </w:r>
          </w:p>
        </w:tc>
        <w:tc>
          <w:tcPr>
            <w:tcW w:w="1253" w:type="dxa"/>
            <w:shd w:val="clear" w:color="000000" w:fill="FFFFFF"/>
            <w:vAlign w:val="center"/>
            <w:hideMark/>
          </w:tcPr>
          <w:p w:rsidR="00FD127A" w:rsidRPr="00612923" w:rsidRDefault="00FD127A" w:rsidP="00254844">
            <w:pPr>
              <w:pStyle w:val="TableText"/>
              <w:keepNext/>
            </w:pPr>
            <w:r w:rsidRPr="00612923">
              <w:t>0.26</w:t>
            </w:r>
          </w:p>
        </w:tc>
        <w:tc>
          <w:tcPr>
            <w:tcW w:w="1170" w:type="dxa"/>
            <w:shd w:val="clear" w:color="000000" w:fill="FFFFFF"/>
            <w:vAlign w:val="center"/>
            <w:hideMark/>
          </w:tcPr>
          <w:p w:rsidR="00FD127A" w:rsidRPr="00612923" w:rsidRDefault="00FD127A" w:rsidP="00254844">
            <w:pPr>
              <w:pStyle w:val="TableText"/>
              <w:keepNext/>
            </w:pPr>
            <w:r w:rsidRPr="00612923">
              <w:t>16%</w:t>
            </w:r>
          </w:p>
        </w:tc>
        <w:tc>
          <w:tcPr>
            <w:tcW w:w="1107" w:type="dxa"/>
            <w:shd w:val="clear" w:color="000000" w:fill="FFFFFF"/>
            <w:vAlign w:val="center"/>
            <w:hideMark/>
          </w:tcPr>
          <w:p w:rsidR="00FD127A" w:rsidRPr="00612923" w:rsidRDefault="00FD127A" w:rsidP="00254844">
            <w:pPr>
              <w:pStyle w:val="TableText"/>
              <w:keepNext/>
            </w:pPr>
            <w:r w:rsidRPr="00612923">
              <w:t>1.5</w:t>
            </w:r>
          </w:p>
        </w:tc>
        <w:tc>
          <w:tcPr>
            <w:tcW w:w="1107" w:type="dxa"/>
            <w:shd w:val="clear" w:color="000000" w:fill="FFFFFF"/>
            <w:vAlign w:val="center"/>
            <w:hideMark/>
          </w:tcPr>
          <w:p w:rsidR="00FD127A" w:rsidRPr="00612923" w:rsidRDefault="00FD127A" w:rsidP="00254844">
            <w:pPr>
              <w:pStyle w:val="TableText"/>
              <w:keepNext/>
            </w:pPr>
            <w:r w:rsidRPr="00612923">
              <w:t>93</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Sierra</w:t>
            </w:r>
          </w:p>
        </w:tc>
        <w:tc>
          <w:tcPr>
            <w:tcW w:w="1170" w:type="dxa"/>
            <w:shd w:val="clear" w:color="000000" w:fill="FFFFFF"/>
            <w:vAlign w:val="center"/>
            <w:hideMark/>
          </w:tcPr>
          <w:p w:rsidR="00FD127A" w:rsidRPr="00612923" w:rsidRDefault="00FD127A" w:rsidP="00254844">
            <w:pPr>
              <w:pStyle w:val="TableText"/>
              <w:keepNext/>
            </w:pPr>
            <w:r w:rsidRPr="00612923">
              <w:t>2,761</w:t>
            </w:r>
          </w:p>
        </w:tc>
        <w:tc>
          <w:tcPr>
            <w:tcW w:w="1087" w:type="dxa"/>
            <w:shd w:val="clear" w:color="000000" w:fill="FFFFFF"/>
            <w:vAlign w:val="center"/>
            <w:hideMark/>
          </w:tcPr>
          <w:p w:rsidR="00FD127A" w:rsidRPr="00612923" w:rsidRDefault="00FD127A" w:rsidP="00254844">
            <w:pPr>
              <w:pStyle w:val="TableText"/>
              <w:keepNext/>
            </w:pPr>
            <w:r w:rsidRPr="00612923">
              <w:t>1.94</w:t>
            </w:r>
          </w:p>
        </w:tc>
        <w:tc>
          <w:tcPr>
            <w:tcW w:w="1253" w:type="dxa"/>
            <w:shd w:val="clear" w:color="000000" w:fill="FFFFFF"/>
            <w:vAlign w:val="center"/>
            <w:hideMark/>
          </w:tcPr>
          <w:p w:rsidR="00FD127A" w:rsidRPr="00612923" w:rsidRDefault="00FD127A" w:rsidP="00254844">
            <w:pPr>
              <w:pStyle w:val="TableText"/>
              <w:keepNext/>
            </w:pPr>
            <w:r w:rsidRPr="00612923">
              <w:t>0.50</w:t>
            </w:r>
          </w:p>
        </w:tc>
        <w:tc>
          <w:tcPr>
            <w:tcW w:w="1170" w:type="dxa"/>
            <w:shd w:val="clear" w:color="000000" w:fill="FFFFFF"/>
            <w:vAlign w:val="center"/>
            <w:hideMark/>
          </w:tcPr>
          <w:p w:rsidR="00FD127A" w:rsidRPr="00612923" w:rsidRDefault="00FD127A" w:rsidP="00254844">
            <w:pPr>
              <w:pStyle w:val="TableText"/>
              <w:keepNext/>
            </w:pPr>
            <w:r w:rsidRPr="00612923">
              <w:t>26%</w:t>
            </w:r>
          </w:p>
        </w:tc>
        <w:tc>
          <w:tcPr>
            <w:tcW w:w="1107" w:type="dxa"/>
            <w:shd w:val="clear" w:color="000000" w:fill="FFFFFF"/>
            <w:vAlign w:val="center"/>
            <w:hideMark/>
          </w:tcPr>
          <w:p w:rsidR="00FD127A" w:rsidRPr="00612923" w:rsidRDefault="00FD127A" w:rsidP="00254844">
            <w:pPr>
              <w:pStyle w:val="TableText"/>
              <w:keepNext/>
            </w:pPr>
            <w:r w:rsidRPr="00612923">
              <w:t>1.4</w:t>
            </w:r>
          </w:p>
        </w:tc>
        <w:tc>
          <w:tcPr>
            <w:tcW w:w="1107" w:type="dxa"/>
            <w:shd w:val="clear" w:color="000000" w:fill="FFFFFF"/>
            <w:vAlign w:val="center"/>
            <w:hideMark/>
          </w:tcPr>
          <w:p w:rsidR="00FD127A" w:rsidRPr="00612923" w:rsidRDefault="00FD127A" w:rsidP="00254844">
            <w:pPr>
              <w:pStyle w:val="TableText"/>
              <w:keepNext/>
            </w:pPr>
            <w:r w:rsidRPr="00612923">
              <w:t>94</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Stockton</w:t>
            </w:r>
          </w:p>
        </w:tc>
        <w:tc>
          <w:tcPr>
            <w:tcW w:w="1170" w:type="dxa"/>
            <w:shd w:val="clear" w:color="000000" w:fill="FFFFFF"/>
            <w:vAlign w:val="center"/>
            <w:hideMark/>
          </w:tcPr>
          <w:p w:rsidR="00FD127A" w:rsidRPr="00612923" w:rsidRDefault="00FD127A" w:rsidP="00254844">
            <w:pPr>
              <w:pStyle w:val="TableText"/>
              <w:keepNext/>
            </w:pPr>
            <w:r w:rsidRPr="00612923">
              <w:t>2,984</w:t>
            </w:r>
          </w:p>
        </w:tc>
        <w:tc>
          <w:tcPr>
            <w:tcW w:w="1087" w:type="dxa"/>
            <w:shd w:val="clear" w:color="000000" w:fill="FFFFFF"/>
            <w:vAlign w:val="center"/>
            <w:hideMark/>
          </w:tcPr>
          <w:p w:rsidR="00FD127A" w:rsidRPr="00612923" w:rsidRDefault="00FD127A" w:rsidP="00254844">
            <w:pPr>
              <w:pStyle w:val="TableText"/>
              <w:keepNext/>
            </w:pPr>
            <w:r w:rsidRPr="00612923">
              <w:t>1.89</w:t>
            </w:r>
          </w:p>
        </w:tc>
        <w:tc>
          <w:tcPr>
            <w:tcW w:w="1253" w:type="dxa"/>
            <w:shd w:val="clear" w:color="000000" w:fill="FFFFFF"/>
            <w:vAlign w:val="center"/>
            <w:hideMark/>
          </w:tcPr>
          <w:p w:rsidR="00FD127A" w:rsidRPr="00612923" w:rsidRDefault="00FD127A" w:rsidP="00254844">
            <w:pPr>
              <w:pStyle w:val="TableText"/>
              <w:keepNext/>
            </w:pPr>
            <w:r w:rsidRPr="00612923">
              <w:t>0.29</w:t>
            </w:r>
          </w:p>
        </w:tc>
        <w:tc>
          <w:tcPr>
            <w:tcW w:w="1170" w:type="dxa"/>
            <w:shd w:val="clear" w:color="000000" w:fill="FFFFFF"/>
            <w:vAlign w:val="center"/>
            <w:hideMark/>
          </w:tcPr>
          <w:p w:rsidR="00FD127A" w:rsidRPr="00612923" w:rsidRDefault="00FD127A" w:rsidP="00254844">
            <w:pPr>
              <w:pStyle w:val="TableText"/>
              <w:keepNext/>
            </w:pPr>
            <w:r w:rsidRPr="00612923">
              <w:t>15%</w:t>
            </w:r>
          </w:p>
        </w:tc>
        <w:tc>
          <w:tcPr>
            <w:tcW w:w="1107" w:type="dxa"/>
            <w:shd w:val="clear" w:color="000000" w:fill="FFFFFF"/>
            <w:vAlign w:val="center"/>
            <w:hideMark/>
          </w:tcPr>
          <w:p w:rsidR="00FD127A" w:rsidRPr="00612923" w:rsidRDefault="00FD127A" w:rsidP="00254844">
            <w:pPr>
              <w:pStyle w:val="TableText"/>
              <w:keepNext/>
            </w:pPr>
            <w:r w:rsidRPr="00612923">
              <w:t>0.9</w:t>
            </w:r>
          </w:p>
        </w:tc>
        <w:tc>
          <w:tcPr>
            <w:tcW w:w="1107" w:type="dxa"/>
            <w:shd w:val="clear" w:color="000000" w:fill="FFFFFF"/>
            <w:vAlign w:val="center"/>
            <w:hideMark/>
          </w:tcPr>
          <w:p w:rsidR="00FD127A" w:rsidRPr="00612923" w:rsidRDefault="00FD127A" w:rsidP="00254844">
            <w:pPr>
              <w:pStyle w:val="TableText"/>
              <w:keepNext/>
            </w:pPr>
            <w:r w:rsidRPr="00612923">
              <w:t>94</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FD127A">
            <w:pPr>
              <w:pStyle w:val="TableText"/>
              <w:rPr>
                <w:b/>
                <w:bCs/>
              </w:rPr>
            </w:pPr>
            <w:r w:rsidRPr="00612923">
              <w:rPr>
                <w:b/>
                <w:bCs/>
              </w:rPr>
              <w:t>Total</w:t>
            </w:r>
          </w:p>
        </w:tc>
        <w:tc>
          <w:tcPr>
            <w:tcW w:w="1170" w:type="dxa"/>
            <w:shd w:val="clear" w:color="000000" w:fill="FFFFFF"/>
            <w:vAlign w:val="center"/>
            <w:hideMark/>
          </w:tcPr>
          <w:p w:rsidR="00FD127A" w:rsidRPr="00612923" w:rsidRDefault="00FD127A" w:rsidP="00FD127A">
            <w:pPr>
              <w:pStyle w:val="TableText"/>
              <w:rPr>
                <w:b/>
                <w:bCs/>
              </w:rPr>
            </w:pPr>
            <w:r w:rsidRPr="00612923">
              <w:rPr>
                <w:b/>
                <w:bCs/>
              </w:rPr>
              <w:t>38,667</w:t>
            </w:r>
          </w:p>
        </w:tc>
        <w:tc>
          <w:tcPr>
            <w:tcW w:w="1087" w:type="dxa"/>
            <w:shd w:val="clear" w:color="000000" w:fill="FFFFFF"/>
            <w:vAlign w:val="center"/>
            <w:hideMark/>
          </w:tcPr>
          <w:p w:rsidR="00FD127A" w:rsidRPr="00612923" w:rsidRDefault="00FD127A" w:rsidP="00FD127A">
            <w:pPr>
              <w:pStyle w:val="TableText"/>
              <w:rPr>
                <w:b/>
                <w:bCs/>
              </w:rPr>
            </w:pPr>
            <w:r w:rsidRPr="00612923">
              <w:rPr>
                <w:b/>
                <w:bCs/>
              </w:rPr>
              <w:t>1.44</w:t>
            </w:r>
          </w:p>
        </w:tc>
        <w:tc>
          <w:tcPr>
            <w:tcW w:w="1253" w:type="dxa"/>
            <w:shd w:val="clear" w:color="000000" w:fill="FFFFFF"/>
            <w:vAlign w:val="center"/>
            <w:hideMark/>
          </w:tcPr>
          <w:p w:rsidR="00FD127A" w:rsidRPr="00612923" w:rsidRDefault="00FD127A" w:rsidP="00FD127A">
            <w:pPr>
              <w:pStyle w:val="TableText"/>
              <w:rPr>
                <w:b/>
                <w:bCs/>
              </w:rPr>
            </w:pPr>
            <w:r w:rsidRPr="00612923">
              <w:rPr>
                <w:b/>
                <w:bCs/>
              </w:rPr>
              <w:t>0.20</w:t>
            </w:r>
          </w:p>
        </w:tc>
        <w:tc>
          <w:tcPr>
            <w:tcW w:w="1170" w:type="dxa"/>
            <w:shd w:val="clear" w:color="000000" w:fill="FFFFFF"/>
            <w:vAlign w:val="center"/>
            <w:hideMark/>
          </w:tcPr>
          <w:p w:rsidR="00FD127A" w:rsidRPr="00612923" w:rsidRDefault="00FD127A" w:rsidP="00FD127A">
            <w:pPr>
              <w:pStyle w:val="TableText"/>
              <w:rPr>
                <w:b/>
                <w:bCs/>
              </w:rPr>
            </w:pPr>
            <w:r w:rsidRPr="00612923">
              <w:rPr>
                <w:b/>
                <w:bCs/>
              </w:rPr>
              <w:t>14%</w:t>
            </w:r>
          </w:p>
        </w:tc>
        <w:tc>
          <w:tcPr>
            <w:tcW w:w="1107" w:type="dxa"/>
            <w:shd w:val="clear" w:color="000000" w:fill="FFFFFF"/>
            <w:vAlign w:val="center"/>
            <w:hideMark/>
          </w:tcPr>
          <w:p w:rsidR="00FD127A" w:rsidRPr="00612923" w:rsidRDefault="00FD127A" w:rsidP="00FD127A">
            <w:pPr>
              <w:pStyle w:val="TableText"/>
              <w:rPr>
                <w:b/>
                <w:bCs/>
              </w:rPr>
            </w:pPr>
            <w:r w:rsidRPr="00612923">
              <w:rPr>
                <w:b/>
                <w:bCs/>
              </w:rPr>
              <w:t>7.9</w:t>
            </w:r>
          </w:p>
        </w:tc>
        <w:tc>
          <w:tcPr>
            <w:tcW w:w="1107" w:type="dxa"/>
            <w:shd w:val="clear" w:color="000000" w:fill="FFFFFF"/>
            <w:vAlign w:val="center"/>
            <w:hideMark/>
          </w:tcPr>
          <w:p w:rsidR="00FD127A" w:rsidRPr="00612923" w:rsidRDefault="00FD127A" w:rsidP="00FD127A">
            <w:pPr>
              <w:pStyle w:val="TableText"/>
              <w:rPr>
                <w:b/>
                <w:bCs/>
              </w:rPr>
            </w:pPr>
            <w:r w:rsidRPr="00612923">
              <w:rPr>
                <w:b/>
                <w:bCs/>
              </w:rPr>
              <w:t>89</w:t>
            </w:r>
          </w:p>
        </w:tc>
      </w:tr>
    </w:tbl>
    <w:p w:rsidR="00FD127A" w:rsidRPr="00612923" w:rsidRDefault="00FD127A" w:rsidP="00FD127A">
      <w:pPr>
        <w:pStyle w:val="TableFigureCaption"/>
        <w:spacing w:before="360"/>
      </w:pPr>
      <w:r w:rsidRPr="00612923">
        <w:t xml:space="preserve">Table 4-4: SmartRate Average Hourly Load Reduction </w:t>
      </w:r>
      <w:r w:rsidRPr="00612923">
        <w:br/>
        <w:t xml:space="preserve">for Event Period (2 to 7 PM) by Local Capacity Area </w:t>
      </w:r>
      <w:r w:rsidRPr="00612923">
        <w:br/>
        <w:t>(Dually</w:t>
      </w:r>
      <w:r w:rsidR="00387990" w:rsidRPr="00612923">
        <w:t>-e</w:t>
      </w:r>
      <w:r w:rsidRPr="00612923">
        <w:t>nrolled Participants)</w:t>
      </w:r>
    </w:p>
    <w:tbl>
      <w:tblPr>
        <w:tblW w:w="7899"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5"/>
        <w:gridCol w:w="1170"/>
        <w:gridCol w:w="1087"/>
        <w:gridCol w:w="1253"/>
        <w:gridCol w:w="1170"/>
        <w:gridCol w:w="1107"/>
        <w:gridCol w:w="1107"/>
      </w:tblGrid>
      <w:tr w:rsidR="00FD127A" w:rsidRPr="00612923" w:rsidTr="00FD127A">
        <w:trPr>
          <w:trHeight w:val="975"/>
          <w:jc w:val="center"/>
        </w:trPr>
        <w:tc>
          <w:tcPr>
            <w:tcW w:w="1005" w:type="dxa"/>
            <w:tcBorders>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Local Capacity Area</w:t>
            </w:r>
          </w:p>
        </w:tc>
        <w:tc>
          <w:tcPr>
            <w:tcW w:w="117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 of SmartRate Customers</w:t>
            </w:r>
          </w:p>
        </w:tc>
        <w:tc>
          <w:tcPr>
            <w:tcW w:w="1087"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Avg. Reference Load (kW)</w:t>
            </w:r>
          </w:p>
        </w:tc>
        <w:tc>
          <w:tcPr>
            <w:tcW w:w="1253"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Avg. Load Reduction (kW)</w:t>
            </w:r>
          </w:p>
        </w:tc>
        <w:tc>
          <w:tcPr>
            <w:tcW w:w="117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 Load Reduction</w:t>
            </w:r>
          </w:p>
        </w:tc>
        <w:tc>
          <w:tcPr>
            <w:tcW w:w="1107"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Aggregate Load Reduction (MW)</w:t>
            </w:r>
          </w:p>
        </w:tc>
        <w:tc>
          <w:tcPr>
            <w:tcW w:w="1107" w:type="dxa"/>
            <w:tcBorders>
              <w:lef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rPr>
            </w:pPr>
            <w:r w:rsidRPr="00612923">
              <w:rPr>
                <w:sz w:val="18"/>
                <w:szCs w:val="18"/>
              </w:rPr>
              <w:t>Average Temp.  During Event (°F)</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Greater Bay Area</w:t>
            </w:r>
          </w:p>
        </w:tc>
        <w:tc>
          <w:tcPr>
            <w:tcW w:w="1170" w:type="dxa"/>
            <w:shd w:val="clear" w:color="000000" w:fill="FFFFFF"/>
            <w:vAlign w:val="center"/>
            <w:hideMark/>
          </w:tcPr>
          <w:p w:rsidR="00FD127A" w:rsidRPr="00612923" w:rsidRDefault="00FD127A" w:rsidP="00254844">
            <w:pPr>
              <w:pStyle w:val="TableText"/>
              <w:keepNext/>
            </w:pPr>
            <w:r w:rsidRPr="00612923">
              <w:t>8,817</w:t>
            </w:r>
          </w:p>
        </w:tc>
        <w:tc>
          <w:tcPr>
            <w:tcW w:w="1087" w:type="dxa"/>
            <w:shd w:val="clear" w:color="000000" w:fill="FFFFFF"/>
            <w:vAlign w:val="center"/>
            <w:hideMark/>
          </w:tcPr>
          <w:p w:rsidR="00FD127A" w:rsidRPr="00612923" w:rsidRDefault="00FD127A" w:rsidP="00254844">
            <w:pPr>
              <w:pStyle w:val="TableText"/>
              <w:keepNext/>
            </w:pPr>
            <w:r w:rsidRPr="00612923">
              <w:t>1.21</w:t>
            </w:r>
          </w:p>
        </w:tc>
        <w:tc>
          <w:tcPr>
            <w:tcW w:w="1253" w:type="dxa"/>
            <w:shd w:val="clear" w:color="000000" w:fill="FFFFFF"/>
            <w:vAlign w:val="center"/>
            <w:hideMark/>
          </w:tcPr>
          <w:p w:rsidR="00FD127A" w:rsidRPr="00612923" w:rsidRDefault="00FD127A" w:rsidP="00254844">
            <w:pPr>
              <w:pStyle w:val="TableText"/>
              <w:keepNext/>
            </w:pPr>
            <w:r w:rsidRPr="00612923">
              <w:t>0.28</w:t>
            </w:r>
          </w:p>
        </w:tc>
        <w:tc>
          <w:tcPr>
            <w:tcW w:w="1170" w:type="dxa"/>
            <w:shd w:val="clear" w:color="000000" w:fill="FFFFFF"/>
            <w:vAlign w:val="center"/>
            <w:hideMark/>
          </w:tcPr>
          <w:p w:rsidR="00FD127A" w:rsidRPr="00612923" w:rsidRDefault="00FD127A" w:rsidP="00254844">
            <w:pPr>
              <w:pStyle w:val="TableText"/>
              <w:keepNext/>
            </w:pPr>
            <w:r w:rsidRPr="00612923">
              <w:t>23%</w:t>
            </w:r>
          </w:p>
        </w:tc>
        <w:tc>
          <w:tcPr>
            <w:tcW w:w="1107" w:type="dxa"/>
            <w:shd w:val="clear" w:color="000000" w:fill="FFFFFF"/>
            <w:vAlign w:val="center"/>
            <w:hideMark/>
          </w:tcPr>
          <w:p w:rsidR="00FD127A" w:rsidRPr="00612923" w:rsidRDefault="00FD127A" w:rsidP="00254844">
            <w:pPr>
              <w:pStyle w:val="TableText"/>
              <w:keepNext/>
            </w:pPr>
            <w:r w:rsidRPr="00612923">
              <w:t>2.5</w:t>
            </w:r>
          </w:p>
        </w:tc>
        <w:tc>
          <w:tcPr>
            <w:tcW w:w="1107" w:type="dxa"/>
            <w:shd w:val="clear" w:color="000000" w:fill="FFFFFF"/>
            <w:vAlign w:val="center"/>
            <w:hideMark/>
          </w:tcPr>
          <w:p w:rsidR="00FD127A" w:rsidRPr="00612923" w:rsidRDefault="00FD127A" w:rsidP="00254844">
            <w:pPr>
              <w:pStyle w:val="TableText"/>
              <w:keepNext/>
            </w:pPr>
            <w:r w:rsidRPr="00612923">
              <w:t>85</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Greater Fresno</w:t>
            </w:r>
          </w:p>
        </w:tc>
        <w:tc>
          <w:tcPr>
            <w:tcW w:w="1170" w:type="dxa"/>
            <w:shd w:val="clear" w:color="000000" w:fill="FFFFFF"/>
            <w:vAlign w:val="center"/>
            <w:hideMark/>
          </w:tcPr>
          <w:p w:rsidR="00FD127A" w:rsidRPr="00612923" w:rsidRDefault="00FD127A" w:rsidP="00254844">
            <w:pPr>
              <w:pStyle w:val="TableText"/>
              <w:keepNext/>
            </w:pPr>
            <w:r w:rsidRPr="00612923">
              <w:t>2,542</w:t>
            </w:r>
          </w:p>
        </w:tc>
        <w:tc>
          <w:tcPr>
            <w:tcW w:w="1087" w:type="dxa"/>
            <w:shd w:val="clear" w:color="000000" w:fill="FFFFFF"/>
            <w:vAlign w:val="center"/>
            <w:hideMark/>
          </w:tcPr>
          <w:p w:rsidR="00FD127A" w:rsidRPr="00612923" w:rsidRDefault="00FD127A" w:rsidP="00254844">
            <w:pPr>
              <w:pStyle w:val="TableText"/>
              <w:keepNext/>
            </w:pPr>
            <w:r w:rsidRPr="00612923">
              <w:t>2.39</w:t>
            </w:r>
          </w:p>
        </w:tc>
        <w:tc>
          <w:tcPr>
            <w:tcW w:w="1253" w:type="dxa"/>
            <w:shd w:val="clear" w:color="000000" w:fill="FFFFFF"/>
            <w:vAlign w:val="center"/>
            <w:hideMark/>
          </w:tcPr>
          <w:p w:rsidR="00FD127A" w:rsidRPr="00612923" w:rsidRDefault="00FD127A" w:rsidP="00254844">
            <w:pPr>
              <w:pStyle w:val="TableText"/>
              <w:keepNext/>
            </w:pPr>
            <w:r w:rsidRPr="00612923">
              <w:t>0.56</w:t>
            </w:r>
          </w:p>
        </w:tc>
        <w:tc>
          <w:tcPr>
            <w:tcW w:w="1170" w:type="dxa"/>
            <w:shd w:val="clear" w:color="000000" w:fill="FFFFFF"/>
            <w:vAlign w:val="center"/>
            <w:hideMark/>
          </w:tcPr>
          <w:p w:rsidR="00FD127A" w:rsidRPr="00612923" w:rsidRDefault="00FD127A" w:rsidP="00254844">
            <w:pPr>
              <w:pStyle w:val="TableText"/>
              <w:keepNext/>
            </w:pPr>
            <w:r w:rsidRPr="00612923">
              <w:t>24%</w:t>
            </w:r>
          </w:p>
        </w:tc>
        <w:tc>
          <w:tcPr>
            <w:tcW w:w="1107" w:type="dxa"/>
            <w:shd w:val="clear" w:color="000000" w:fill="FFFFFF"/>
            <w:vAlign w:val="center"/>
            <w:hideMark/>
          </w:tcPr>
          <w:p w:rsidR="00FD127A" w:rsidRPr="00612923" w:rsidRDefault="00FD127A" w:rsidP="00254844">
            <w:pPr>
              <w:pStyle w:val="TableText"/>
              <w:keepNext/>
            </w:pPr>
            <w:r w:rsidRPr="00612923">
              <w:t>1.4</w:t>
            </w:r>
          </w:p>
        </w:tc>
        <w:tc>
          <w:tcPr>
            <w:tcW w:w="1107" w:type="dxa"/>
            <w:shd w:val="clear" w:color="000000" w:fill="FFFFFF"/>
            <w:vAlign w:val="center"/>
            <w:hideMark/>
          </w:tcPr>
          <w:p w:rsidR="00FD127A" w:rsidRPr="00612923" w:rsidRDefault="00FD127A" w:rsidP="00254844">
            <w:pPr>
              <w:pStyle w:val="TableText"/>
              <w:keepNext/>
            </w:pPr>
            <w:r w:rsidRPr="00612923">
              <w:t>99</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Kern</w:t>
            </w:r>
          </w:p>
        </w:tc>
        <w:tc>
          <w:tcPr>
            <w:tcW w:w="1170" w:type="dxa"/>
            <w:shd w:val="clear" w:color="000000" w:fill="FFFFFF"/>
            <w:vAlign w:val="center"/>
            <w:hideMark/>
          </w:tcPr>
          <w:p w:rsidR="00FD127A" w:rsidRPr="00612923" w:rsidRDefault="00FD127A" w:rsidP="00254844">
            <w:pPr>
              <w:pStyle w:val="TableText"/>
              <w:keepNext/>
            </w:pPr>
            <w:r w:rsidRPr="00612923">
              <w:t>1,288</w:t>
            </w:r>
          </w:p>
        </w:tc>
        <w:tc>
          <w:tcPr>
            <w:tcW w:w="1087" w:type="dxa"/>
            <w:shd w:val="clear" w:color="000000" w:fill="FFFFFF"/>
            <w:vAlign w:val="center"/>
            <w:hideMark/>
          </w:tcPr>
          <w:p w:rsidR="00FD127A" w:rsidRPr="00612923" w:rsidRDefault="00FD127A" w:rsidP="00254844">
            <w:pPr>
              <w:pStyle w:val="TableText"/>
              <w:keepNext/>
            </w:pPr>
            <w:r w:rsidRPr="00612923">
              <w:t>2.70</w:t>
            </w:r>
          </w:p>
        </w:tc>
        <w:tc>
          <w:tcPr>
            <w:tcW w:w="1253" w:type="dxa"/>
            <w:shd w:val="clear" w:color="000000" w:fill="FFFFFF"/>
            <w:vAlign w:val="center"/>
            <w:hideMark/>
          </w:tcPr>
          <w:p w:rsidR="00FD127A" w:rsidRPr="00612923" w:rsidRDefault="00FD127A" w:rsidP="00254844">
            <w:pPr>
              <w:pStyle w:val="TableText"/>
              <w:keepNext/>
            </w:pPr>
            <w:r w:rsidRPr="00612923">
              <w:t>0.69</w:t>
            </w:r>
          </w:p>
        </w:tc>
        <w:tc>
          <w:tcPr>
            <w:tcW w:w="1170" w:type="dxa"/>
            <w:shd w:val="clear" w:color="000000" w:fill="FFFFFF"/>
            <w:vAlign w:val="center"/>
            <w:hideMark/>
          </w:tcPr>
          <w:p w:rsidR="00FD127A" w:rsidRPr="00612923" w:rsidRDefault="00FD127A" w:rsidP="00254844">
            <w:pPr>
              <w:pStyle w:val="TableText"/>
              <w:keepNext/>
            </w:pPr>
            <w:r w:rsidRPr="00612923">
              <w:t>26%</w:t>
            </w:r>
          </w:p>
        </w:tc>
        <w:tc>
          <w:tcPr>
            <w:tcW w:w="1107" w:type="dxa"/>
            <w:shd w:val="clear" w:color="000000" w:fill="FFFFFF"/>
            <w:vAlign w:val="center"/>
            <w:hideMark/>
          </w:tcPr>
          <w:p w:rsidR="00FD127A" w:rsidRPr="00612923" w:rsidRDefault="00FD127A" w:rsidP="00254844">
            <w:pPr>
              <w:pStyle w:val="TableText"/>
              <w:keepNext/>
            </w:pPr>
            <w:r w:rsidRPr="00612923">
              <w:t>0.9</w:t>
            </w:r>
          </w:p>
        </w:tc>
        <w:tc>
          <w:tcPr>
            <w:tcW w:w="1107" w:type="dxa"/>
            <w:shd w:val="clear" w:color="000000" w:fill="FFFFFF"/>
            <w:vAlign w:val="center"/>
            <w:hideMark/>
          </w:tcPr>
          <w:p w:rsidR="00FD127A" w:rsidRPr="00612923" w:rsidRDefault="00FD127A" w:rsidP="00254844">
            <w:pPr>
              <w:pStyle w:val="TableText"/>
              <w:keepNext/>
            </w:pPr>
            <w:r w:rsidRPr="00612923">
              <w:t>99</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Northern Coast</w:t>
            </w:r>
          </w:p>
        </w:tc>
        <w:tc>
          <w:tcPr>
            <w:tcW w:w="1170" w:type="dxa"/>
            <w:shd w:val="clear" w:color="000000" w:fill="FFFFFF"/>
            <w:vAlign w:val="center"/>
            <w:hideMark/>
          </w:tcPr>
          <w:p w:rsidR="00FD127A" w:rsidRPr="00612923" w:rsidRDefault="00FD127A" w:rsidP="00254844">
            <w:pPr>
              <w:pStyle w:val="TableText"/>
              <w:keepNext/>
            </w:pPr>
            <w:r w:rsidRPr="00612923">
              <w:t>1,353</w:t>
            </w:r>
          </w:p>
        </w:tc>
        <w:tc>
          <w:tcPr>
            <w:tcW w:w="1087" w:type="dxa"/>
            <w:shd w:val="clear" w:color="000000" w:fill="FFFFFF"/>
            <w:vAlign w:val="center"/>
            <w:hideMark/>
          </w:tcPr>
          <w:p w:rsidR="00FD127A" w:rsidRPr="00612923" w:rsidRDefault="00FD127A" w:rsidP="00254844">
            <w:pPr>
              <w:pStyle w:val="TableText"/>
              <w:keepNext/>
            </w:pPr>
            <w:r w:rsidRPr="00612923">
              <w:t>1.16</w:t>
            </w:r>
          </w:p>
        </w:tc>
        <w:tc>
          <w:tcPr>
            <w:tcW w:w="1253" w:type="dxa"/>
            <w:shd w:val="clear" w:color="000000" w:fill="FFFFFF"/>
            <w:vAlign w:val="center"/>
            <w:hideMark/>
          </w:tcPr>
          <w:p w:rsidR="00FD127A" w:rsidRPr="00612923" w:rsidRDefault="00FD127A" w:rsidP="00254844">
            <w:pPr>
              <w:pStyle w:val="TableText"/>
              <w:keepNext/>
            </w:pPr>
            <w:r w:rsidRPr="00612923">
              <w:t>0.29</w:t>
            </w:r>
          </w:p>
        </w:tc>
        <w:tc>
          <w:tcPr>
            <w:tcW w:w="1170" w:type="dxa"/>
            <w:shd w:val="clear" w:color="000000" w:fill="FFFFFF"/>
            <w:vAlign w:val="center"/>
            <w:hideMark/>
          </w:tcPr>
          <w:p w:rsidR="00FD127A" w:rsidRPr="00612923" w:rsidRDefault="00FD127A" w:rsidP="00254844">
            <w:pPr>
              <w:pStyle w:val="TableText"/>
              <w:keepNext/>
            </w:pPr>
            <w:r w:rsidRPr="00612923">
              <w:t>25%</w:t>
            </w:r>
          </w:p>
        </w:tc>
        <w:tc>
          <w:tcPr>
            <w:tcW w:w="1107" w:type="dxa"/>
            <w:shd w:val="clear" w:color="000000" w:fill="FFFFFF"/>
            <w:vAlign w:val="center"/>
            <w:hideMark/>
          </w:tcPr>
          <w:p w:rsidR="00FD127A" w:rsidRPr="00612923" w:rsidRDefault="00FD127A" w:rsidP="00254844">
            <w:pPr>
              <w:pStyle w:val="TableText"/>
              <w:keepNext/>
            </w:pPr>
            <w:r w:rsidRPr="00612923">
              <w:t>0.4</w:t>
            </w:r>
          </w:p>
        </w:tc>
        <w:tc>
          <w:tcPr>
            <w:tcW w:w="1107" w:type="dxa"/>
            <w:shd w:val="clear" w:color="000000" w:fill="FFFFFF"/>
            <w:vAlign w:val="center"/>
            <w:hideMark/>
          </w:tcPr>
          <w:p w:rsidR="00FD127A" w:rsidRPr="00612923" w:rsidRDefault="00FD127A" w:rsidP="00254844">
            <w:pPr>
              <w:pStyle w:val="TableText"/>
              <w:keepNext/>
            </w:pPr>
            <w:r w:rsidRPr="00612923">
              <w:t>86</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Other</w:t>
            </w:r>
          </w:p>
        </w:tc>
        <w:tc>
          <w:tcPr>
            <w:tcW w:w="1170" w:type="dxa"/>
            <w:shd w:val="clear" w:color="000000" w:fill="FFFFFF"/>
            <w:vAlign w:val="center"/>
            <w:hideMark/>
          </w:tcPr>
          <w:p w:rsidR="00FD127A" w:rsidRPr="00612923" w:rsidRDefault="00FD127A" w:rsidP="00254844">
            <w:pPr>
              <w:pStyle w:val="TableText"/>
              <w:keepNext/>
            </w:pPr>
            <w:r w:rsidRPr="00612923">
              <w:t>3,355</w:t>
            </w:r>
          </w:p>
        </w:tc>
        <w:tc>
          <w:tcPr>
            <w:tcW w:w="1087" w:type="dxa"/>
            <w:shd w:val="clear" w:color="000000" w:fill="FFFFFF"/>
            <w:vAlign w:val="center"/>
            <w:hideMark/>
          </w:tcPr>
          <w:p w:rsidR="00FD127A" w:rsidRPr="00612923" w:rsidRDefault="00FD127A" w:rsidP="00254844">
            <w:pPr>
              <w:pStyle w:val="TableText"/>
              <w:keepNext/>
            </w:pPr>
            <w:r w:rsidRPr="00612923">
              <w:t>1.74</w:t>
            </w:r>
          </w:p>
        </w:tc>
        <w:tc>
          <w:tcPr>
            <w:tcW w:w="1253" w:type="dxa"/>
            <w:shd w:val="clear" w:color="000000" w:fill="FFFFFF"/>
            <w:vAlign w:val="center"/>
            <w:hideMark/>
          </w:tcPr>
          <w:p w:rsidR="00FD127A" w:rsidRPr="00612923" w:rsidRDefault="00FD127A" w:rsidP="00254844">
            <w:pPr>
              <w:pStyle w:val="TableText"/>
              <w:keepNext/>
            </w:pPr>
            <w:r w:rsidRPr="00612923">
              <w:t>0.47</w:t>
            </w:r>
          </w:p>
        </w:tc>
        <w:tc>
          <w:tcPr>
            <w:tcW w:w="1170" w:type="dxa"/>
            <w:shd w:val="clear" w:color="000000" w:fill="FFFFFF"/>
            <w:vAlign w:val="center"/>
            <w:hideMark/>
          </w:tcPr>
          <w:p w:rsidR="00FD127A" w:rsidRPr="00612923" w:rsidRDefault="00FD127A" w:rsidP="00254844">
            <w:pPr>
              <w:pStyle w:val="TableText"/>
              <w:keepNext/>
            </w:pPr>
            <w:r w:rsidRPr="00612923">
              <w:t>27%</w:t>
            </w:r>
          </w:p>
        </w:tc>
        <w:tc>
          <w:tcPr>
            <w:tcW w:w="1107" w:type="dxa"/>
            <w:shd w:val="clear" w:color="000000" w:fill="FFFFFF"/>
            <w:vAlign w:val="center"/>
            <w:hideMark/>
          </w:tcPr>
          <w:p w:rsidR="00FD127A" w:rsidRPr="00612923" w:rsidRDefault="00FD127A" w:rsidP="00254844">
            <w:pPr>
              <w:pStyle w:val="TableText"/>
              <w:keepNext/>
            </w:pPr>
            <w:r w:rsidRPr="00612923">
              <w:t>1.6</w:t>
            </w:r>
          </w:p>
        </w:tc>
        <w:tc>
          <w:tcPr>
            <w:tcW w:w="1107" w:type="dxa"/>
            <w:shd w:val="clear" w:color="000000" w:fill="FFFFFF"/>
            <w:vAlign w:val="center"/>
            <w:hideMark/>
          </w:tcPr>
          <w:p w:rsidR="00FD127A" w:rsidRPr="00612923" w:rsidRDefault="00FD127A" w:rsidP="00254844">
            <w:pPr>
              <w:pStyle w:val="TableText"/>
              <w:keepNext/>
            </w:pPr>
            <w:r w:rsidRPr="00612923">
              <w:t>95</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Sierra</w:t>
            </w:r>
          </w:p>
        </w:tc>
        <w:tc>
          <w:tcPr>
            <w:tcW w:w="1170" w:type="dxa"/>
            <w:shd w:val="clear" w:color="000000" w:fill="FFFFFF"/>
            <w:vAlign w:val="center"/>
            <w:hideMark/>
          </w:tcPr>
          <w:p w:rsidR="00FD127A" w:rsidRPr="00612923" w:rsidRDefault="00FD127A" w:rsidP="00254844">
            <w:pPr>
              <w:pStyle w:val="TableText"/>
              <w:keepNext/>
            </w:pPr>
            <w:r w:rsidRPr="00612923">
              <w:t>2,698</w:t>
            </w:r>
          </w:p>
        </w:tc>
        <w:tc>
          <w:tcPr>
            <w:tcW w:w="1087" w:type="dxa"/>
            <w:shd w:val="clear" w:color="000000" w:fill="FFFFFF"/>
            <w:vAlign w:val="center"/>
            <w:hideMark/>
          </w:tcPr>
          <w:p w:rsidR="00FD127A" w:rsidRPr="00612923" w:rsidRDefault="00FD127A" w:rsidP="00254844">
            <w:pPr>
              <w:pStyle w:val="TableText"/>
              <w:keepNext/>
            </w:pPr>
            <w:r w:rsidRPr="00612923">
              <w:t>2.07</w:t>
            </w:r>
          </w:p>
        </w:tc>
        <w:tc>
          <w:tcPr>
            <w:tcW w:w="1253" w:type="dxa"/>
            <w:shd w:val="clear" w:color="000000" w:fill="FFFFFF"/>
            <w:vAlign w:val="center"/>
            <w:hideMark/>
          </w:tcPr>
          <w:p w:rsidR="00FD127A" w:rsidRPr="00612923" w:rsidRDefault="00FD127A" w:rsidP="00254844">
            <w:pPr>
              <w:pStyle w:val="TableText"/>
              <w:keepNext/>
            </w:pPr>
            <w:r w:rsidRPr="00612923">
              <w:t>0.61</w:t>
            </w:r>
          </w:p>
        </w:tc>
        <w:tc>
          <w:tcPr>
            <w:tcW w:w="1170" w:type="dxa"/>
            <w:shd w:val="clear" w:color="000000" w:fill="FFFFFF"/>
            <w:vAlign w:val="center"/>
            <w:hideMark/>
          </w:tcPr>
          <w:p w:rsidR="00FD127A" w:rsidRPr="00612923" w:rsidRDefault="00FD127A" w:rsidP="00254844">
            <w:pPr>
              <w:pStyle w:val="TableText"/>
              <w:keepNext/>
            </w:pPr>
            <w:r w:rsidRPr="00612923">
              <w:t>30%</w:t>
            </w:r>
          </w:p>
        </w:tc>
        <w:tc>
          <w:tcPr>
            <w:tcW w:w="1107" w:type="dxa"/>
            <w:shd w:val="clear" w:color="000000" w:fill="FFFFFF"/>
            <w:vAlign w:val="center"/>
            <w:hideMark/>
          </w:tcPr>
          <w:p w:rsidR="00FD127A" w:rsidRPr="00612923" w:rsidRDefault="00FD127A" w:rsidP="00254844">
            <w:pPr>
              <w:pStyle w:val="TableText"/>
              <w:keepNext/>
            </w:pPr>
            <w:r w:rsidRPr="00612923">
              <w:t>1.7</w:t>
            </w:r>
          </w:p>
        </w:tc>
        <w:tc>
          <w:tcPr>
            <w:tcW w:w="1107" w:type="dxa"/>
            <w:shd w:val="clear" w:color="000000" w:fill="FFFFFF"/>
            <w:vAlign w:val="center"/>
            <w:hideMark/>
          </w:tcPr>
          <w:p w:rsidR="00FD127A" w:rsidRPr="00612923" w:rsidRDefault="00FD127A" w:rsidP="00254844">
            <w:pPr>
              <w:pStyle w:val="TableText"/>
              <w:keepNext/>
            </w:pPr>
            <w:r w:rsidRPr="00612923">
              <w:t>94</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254844">
            <w:pPr>
              <w:pStyle w:val="TableText"/>
              <w:keepNext/>
            </w:pPr>
            <w:r w:rsidRPr="00612923">
              <w:t>Stockton</w:t>
            </w:r>
          </w:p>
        </w:tc>
        <w:tc>
          <w:tcPr>
            <w:tcW w:w="1170" w:type="dxa"/>
            <w:shd w:val="clear" w:color="000000" w:fill="FFFFFF"/>
            <w:vAlign w:val="center"/>
            <w:hideMark/>
          </w:tcPr>
          <w:p w:rsidR="00FD127A" w:rsidRPr="00612923" w:rsidRDefault="00FD127A" w:rsidP="00254844">
            <w:pPr>
              <w:pStyle w:val="TableText"/>
              <w:keepNext/>
            </w:pPr>
            <w:r w:rsidRPr="00612923">
              <w:t>2,030</w:t>
            </w:r>
          </w:p>
        </w:tc>
        <w:tc>
          <w:tcPr>
            <w:tcW w:w="1087" w:type="dxa"/>
            <w:shd w:val="clear" w:color="000000" w:fill="FFFFFF"/>
            <w:vAlign w:val="center"/>
            <w:hideMark/>
          </w:tcPr>
          <w:p w:rsidR="00FD127A" w:rsidRPr="00612923" w:rsidRDefault="00FD127A" w:rsidP="00254844">
            <w:pPr>
              <w:pStyle w:val="TableText"/>
              <w:keepNext/>
            </w:pPr>
            <w:r w:rsidRPr="00612923">
              <w:t>1.95</w:t>
            </w:r>
          </w:p>
        </w:tc>
        <w:tc>
          <w:tcPr>
            <w:tcW w:w="1253" w:type="dxa"/>
            <w:shd w:val="clear" w:color="000000" w:fill="FFFFFF"/>
            <w:vAlign w:val="center"/>
            <w:hideMark/>
          </w:tcPr>
          <w:p w:rsidR="00FD127A" w:rsidRPr="00612923" w:rsidRDefault="00FD127A" w:rsidP="00254844">
            <w:pPr>
              <w:pStyle w:val="TableText"/>
              <w:keepNext/>
            </w:pPr>
            <w:r w:rsidRPr="00612923">
              <w:t>0.49</w:t>
            </w:r>
          </w:p>
        </w:tc>
        <w:tc>
          <w:tcPr>
            <w:tcW w:w="1170" w:type="dxa"/>
            <w:shd w:val="clear" w:color="000000" w:fill="FFFFFF"/>
            <w:vAlign w:val="center"/>
            <w:hideMark/>
          </w:tcPr>
          <w:p w:rsidR="00FD127A" w:rsidRPr="00612923" w:rsidRDefault="00FD127A" w:rsidP="00254844">
            <w:pPr>
              <w:pStyle w:val="TableText"/>
              <w:keepNext/>
            </w:pPr>
            <w:r w:rsidRPr="00612923">
              <w:t>25%</w:t>
            </w:r>
          </w:p>
        </w:tc>
        <w:tc>
          <w:tcPr>
            <w:tcW w:w="1107" w:type="dxa"/>
            <w:shd w:val="clear" w:color="000000" w:fill="FFFFFF"/>
            <w:vAlign w:val="center"/>
            <w:hideMark/>
          </w:tcPr>
          <w:p w:rsidR="00FD127A" w:rsidRPr="00612923" w:rsidRDefault="00FD127A" w:rsidP="00254844">
            <w:pPr>
              <w:pStyle w:val="TableText"/>
              <w:keepNext/>
            </w:pPr>
            <w:r w:rsidRPr="00612923">
              <w:t>1.0</w:t>
            </w:r>
          </w:p>
        </w:tc>
        <w:tc>
          <w:tcPr>
            <w:tcW w:w="1107" w:type="dxa"/>
            <w:shd w:val="clear" w:color="000000" w:fill="FFFFFF"/>
            <w:vAlign w:val="center"/>
            <w:hideMark/>
          </w:tcPr>
          <w:p w:rsidR="00FD127A" w:rsidRPr="00612923" w:rsidRDefault="00FD127A" w:rsidP="00254844">
            <w:pPr>
              <w:pStyle w:val="TableText"/>
              <w:keepNext/>
            </w:pPr>
            <w:r w:rsidRPr="00612923">
              <w:t>94</w:t>
            </w:r>
          </w:p>
        </w:tc>
      </w:tr>
      <w:tr w:rsidR="00FD127A" w:rsidRPr="00612923" w:rsidTr="00FD127A">
        <w:trPr>
          <w:trHeight w:val="315"/>
          <w:jc w:val="center"/>
        </w:trPr>
        <w:tc>
          <w:tcPr>
            <w:tcW w:w="1005" w:type="dxa"/>
            <w:shd w:val="clear" w:color="000000" w:fill="FFFFFF"/>
            <w:vAlign w:val="center"/>
            <w:hideMark/>
          </w:tcPr>
          <w:p w:rsidR="00FD127A" w:rsidRPr="00612923" w:rsidRDefault="00FD127A" w:rsidP="00FD127A">
            <w:pPr>
              <w:pStyle w:val="TableText"/>
              <w:rPr>
                <w:b/>
                <w:bCs/>
              </w:rPr>
            </w:pPr>
            <w:r w:rsidRPr="00612923">
              <w:rPr>
                <w:b/>
                <w:bCs/>
              </w:rPr>
              <w:t>Total</w:t>
            </w:r>
          </w:p>
        </w:tc>
        <w:tc>
          <w:tcPr>
            <w:tcW w:w="1170" w:type="dxa"/>
            <w:shd w:val="clear" w:color="000000" w:fill="FFFFFF"/>
            <w:vAlign w:val="center"/>
            <w:hideMark/>
          </w:tcPr>
          <w:p w:rsidR="00FD127A" w:rsidRPr="00612923" w:rsidRDefault="00FD127A" w:rsidP="00FD127A">
            <w:pPr>
              <w:pStyle w:val="TableText"/>
              <w:rPr>
                <w:b/>
                <w:bCs/>
              </w:rPr>
            </w:pPr>
            <w:r w:rsidRPr="00612923">
              <w:rPr>
                <w:b/>
                <w:bCs/>
              </w:rPr>
              <w:t>22,132</w:t>
            </w:r>
          </w:p>
        </w:tc>
        <w:tc>
          <w:tcPr>
            <w:tcW w:w="1087" w:type="dxa"/>
            <w:shd w:val="clear" w:color="000000" w:fill="FFFFFF"/>
            <w:vAlign w:val="center"/>
            <w:hideMark/>
          </w:tcPr>
          <w:p w:rsidR="00FD127A" w:rsidRPr="00612923" w:rsidRDefault="00FD127A" w:rsidP="00FD127A">
            <w:pPr>
              <w:pStyle w:val="TableText"/>
              <w:rPr>
                <w:b/>
                <w:bCs/>
              </w:rPr>
            </w:pPr>
            <w:r w:rsidRPr="00612923">
              <w:rPr>
                <w:b/>
                <w:bCs/>
              </w:rPr>
              <w:t>1.65</w:t>
            </w:r>
          </w:p>
        </w:tc>
        <w:tc>
          <w:tcPr>
            <w:tcW w:w="1253" w:type="dxa"/>
            <w:shd w:val="clear" w:color="000000" w:fill="FFFFFF"/>
            <w:vAlign w:val="center"/>
            <w:hideMark/>
          </w:tcPr>
          <w:p w:rsidR="00FD127A" w:rsidRPr="00612923" w:rsidRDefault="00FD127A" w:rsidP="00FD127A">
            <w:pPr>
              <w:pStyle w:val="TableText"/>
              <w:rPr>
                <w:b/>
                <w:bCs/>
              </w:rPr>
            </w:pPr>
            <w:r w:rsidRPr="00612923">
              <w:rPr>
                <w:b/>
                <w:bCs/>
              </w:rPr>
              <w:t>0.42</w:t>
            </w:r>
          </w:p>
        </w:tc>
        <w:tc>
          <w:tcPr>
            <w:tcW w:w="1170" w:type="dxa"/>
            <w:shd w:val="clear" w:color="000000" w:fill="FFFFFF"/>
            <w:vAlign w:val="center"/>
            <w:hideMark/>
          </w:tcPr>
          <w:p w:rsidR="00FD127A" w:rsidRPr="00612923" w:rsidRDefault="00FD127A" w:rsidP="00FD127A">
            <w:pPr>
              <w:pStyle w:val="TableText"/>
              <w:rPr>
                <w:b/>
                <w:bCs/>
              </w:rPr>
            </w:pPr>
            <w:r w:rsidRPr="00612923">
              <w:rPr>
                <w:b/>
                <w:bCs/>
              </w:rPr>
              <w:t>25%</w:t>
            </w:r>
          </w:p>
        </w:tc>
        <w:tc>
          <w:tcPr>
            <w:tcW w:w="1107" w:type="dxa"/>
            <w:shd w:val="clear" w:color="000000" w:fill="FFFFFF"/>
            <w:vAlign w:val="center"/>
            <w:hideMark/>
          </w:tcPr>
          <w:p w:rsidR="00FD127A" w:rsidRPr="00612923" w:rsidRDefault="00FD127A" w:rsidP="00FD127A">
            <w:pPr>
              <w:pStyle w:val="TableText"/>
              <w:rPr>
                <w:b/>
                <w:bCs/>
              </w:rPr>
            </w:pPr>
            <w:r w:rsidRPr="00612923">
              <w:rPr>
                <w:b/>
                <w:bCs/>
              </w:rPr>
              <w:t>9.2</w:t>
            </w:r>
          </w:p>
        </w:tc>
        <w:tc>
          <w:tcPr>
            <w:tcW w:w="1107" w:type="dxa"/>
            <w:shd w:val="clear" w:color="000000" w:fill="FFFFFF"/>
            <w:vAlign w:val="center"/>
            <w:hideMark/>
          </w:tcPr>
          <w:p w:rsidR="00FD127A" w:rsidRPr="00612923" w:rsidRDefault="00FD127A" w:rsidP="00FD127A">
            <w:pPr>
              <w:pStyle w:val="TableText"/>
              <w:rPr>
                <w:b/>
                <w:bCs/>
              </w:rPr>
            </w:pPr>
            <w:r w:rsidRPr="00612923">
              <w:rPr>
                <w:b/>
                <w:bCs/>
              </w:rPr>
              <w:t>91</w:t>
            </w:r>
          </w:p>
        </w:tc>
      </w:tr>
    </w:tbl>
    <w:p w:rsidR="00FD127A" w:rsidRPr="00612923" w:rsidRDefault="00FD127A" w:rsidP="00FD127A">
      <w:pPr>
        <w:pStyle w:val="BodyParagraph"/>
      </w:pPr>
    </w:p>
    <w:p w:rsidR="00FD127A" w:rsidRPr="00612923" w:rsidRDefault="00FD127A" w:rsidP="009832E2">
      <w:pPr>
        <w:pStyle w:val="Heading3"/>
      </w:pPr>
      <w:bookmarkStart w:id="37" w:name="_Toc349193886"/>
      <w:bookmarkStart w:id="38" w:name="_Toc352567301"/>
      <w:r w:rsidRPr="00612923">
        <w:lastRenderedPageBreak/>
        <w:t>Load Impacts for Low Income Tariff Customers (CARE)</w:t>
      </w:r>
      <w:bookmarkEnd w:id="37"/>
      <w:bookmarkEnd w:id="38"/>
    </w:p>
    <w:p w:rsidR="00FD127A" w:rsidRPr="00612923" w:rsidRDefault="00FD127A" w:rsidP="00FD127A">
      <w:pPr>
        <w:pStyle w:val="BodyParagraph"/>
      </w:pPr>
      <w:r w:rsidRPr="00612923">
        <w:t>Low income consumers in California are eligible for lower rates through the California Alternate Rates for Energy program, known as CARE.  Qualification for CARE is based on self-reported, household income and varies with the number of persons per household.  The proportion of customers enrolled in</w:t>
      </w:r>
      <w:r w:rsidR="00387990" w:rsidRPr="00612923">
        <w:t> </w:t>
      </w:r>
      <w:r w:rsidRPr="00612923">
        <w:t xml:space="preserve">CARE has increased steadily in PG&amp;E’s territory since 2008. </w:t>
      </w:r>
    </w:p>
    <w:p w:rsidR="00FD127A" w:rsidRPr="00612923" w:rsidRDefault="00FD127A" w:rsidP="00FD127A">
      <w:pPr>
        <w:pStyle w:val="BodyParagraph"/>
      </w:pPr>
      <w:r w:rsidRPr="00612923">
        <w:t xml:space="preserve">About 35% of SmartRate customers are CARE customers, which is smaller than the proportion in 2011.  In contrast, only 27% of the PG&amp;E population was on the CARE rate at the end of 2012.  </w:t>
      </w:r>
    </w:p>
    <w:p w:rsidR="00FD127A" w:rsidRPr="00612923" w:rsidRDefault="00FD127A" w:rsidP="00FD127A">
      <w:pPr>
        <w:pStyle w:val="BodyParagraph"/>
      </w:pPr>
      <w:r w:rsidRPr="00612923">
        <w:t>Table 4-5</w:t>
      </w:r>
      <w:r w:rsidRPr="00612923">
        <w:rPr>
          <w:rStyle w:val="FootnoteReference"/>
        </w:rPr>
        <w:footnoteReference w:id="18"/>
      </w:r>
      <w:r w:rsidRPr="00612923">
        <w:t xml:space="preserve"> shows the average load reduction and percent load reduction for CARE and non-CARE SmartRate customers.  The average load reduction for SmartRate-only CARE customers is about one-half the size of the reduction for non-CARE customers.  This is particularly interesting because non-CARE customers tend to be located in cooler areas than CARE customers.  Across the 10 event days in 2012, SmartRate-only CARE customers reduced their peak period load on average by 0.16 kW, or 9%.  Non-CARE customers, on the other hand, reduced load on average by 0.27 kW, or 19%.  Table 4-5 also shows the average load reduction and percent load reduction for CARE and non-CARE dually-enrolled customers.  The proportion of CARE customers in the dually-enrolled population is much smaller than the proportion of CARE customers in the SmartRate-only population.  For this group, the average load reduction for CARE customers is slightly more than one-half the size of the reduction for non-CARE customers.  Across the 10 event days in 2012, dually-enrolled CARE customers reduced their peak period load on average by 0.35 kW, or 16%.  Non-CARE customers, on the other hand, reduced load on average by 0.41 kW, or 25%.  The impact estimates in the table are based on a comparison between the SmartRate group and the matched control group.</w:t>
      </w:r>
    </w:p>
    <w:p w:rsidR="00FD127A" w:rsidRPr="00612923" w:rsidRDefault="00FD127A" w:rsidP="00FD127A">
      <w:pPr>
        <w:pStyle w:val="TableFigureCaption"/>
      </w:pPr>
      <w:bookmarkStart w:id="39" w:name="_Ref286766239"/>
      <w:r w:rsidRPr="00612923">
        <w:t xml:space="preserve">Table </w:t>
      </w:r>
      <w:r w:rsidR="00071D48">
        <w:fldChar w:fldCharType="begin"/>
      </w:r>
      <w:r w:rsidR="00A22ACF">
        <w:instrText xml:space="preserve"> STYLEREF 1 \s </w:instrText>
      </w:r>
      <w:r w:rsidR="00071D48">
        <w:fldChar w:fldCharType="separate"/>
      </w:r>
      <w:r w:rsidR="00911840">
        <w:rPr>
          <w:noProof/>
        </w:rPr>
        <w:t>4</w:t>
      </w:r>
      <w:r w:rsidR="00071D48">
        <w:rPr>
          <w:noProof/>
        </w:rPr>
        <w:fldChar w:fldCharType="end"/>
      </w:r>
      <w:r w:rsidRPr="00612923">
        <w:noBreakHyphen/>
      </w:r>
      <w:bookmarkEnd w:id="39"/>
      <w:r w:rsidRPr="00612923">
        <w:t>5: Load Reductions for CARE and Non-CARE SmartRate-</w:t>
      </w:r>
      <w:r w:rsidR="00387990" w:rsidRPr="00612923">
        <w:t>o</w:t>
      </w:r>
      <w:r w:rsidRPr="00612923">
        <w:t>nly Participants</w:t>
      </w:r>
    </w:p>
    <w:tbl>
      <w:tblPr>
        <w:tblW w:w="9817" w:type="dxa"/>
        <w:jc w:val="center"/>
        <w:tblInd w:w="93" w:type="dxa"/>
        <w:tblLayout w:type="fixed"/>
        <w:tblLook w:val="04A0"/>
      </w:tblPr>
      <w:tblGrid>
        <w:gridCol w:w="1040"/>
        <w:gridCol w:w="1135"/>
        <w:gridCol w:w="1170"/>
        <w:gridCol w:w="1260"/>
        <w:gridCol w:w="1340"/>
        <w:gridCol w:w="1194"/>
        <w:gridCol w:w="1246"/>
        <w:gridCol w:w="1432"/>
      </w:tblGrid>
      <w:tr w:rsidR="009832E2" w:rsidRPr="00612923" w:rsidTr="004402F1">
        <w:trPr>
          <w:trHeight w:val="1034"/>
          <w:jc w:val="center"/>
        </w:trPr>
        <w:tc>
          <w:tcPr>
            <w:tcW w:w="2175" w:type="dxa"/>
            <w:gridSpan w:val="2"/>
            <w:tcBorders>
              <w:top w:val="single" w:sz="4" w:space="0" w:color="auto"/>
              <w:left w:val="single" w:sz="4" w:space="0" w:color="auto"/>
              <w:bottom w:val="single" w:sz="4" w:space="0" w:color="000000"/>
              <w:right w:val="single" w:sz="4" w:space="0" w:color="FFFFFF"/>
            </w:tcBorders>
            <w:shd w:val="clear" w:color="000000" w:fill="1F497D"/>
            <w:vAlign w:val="center"/>
            <w:hideMark/>
          </w:tcPr>
          <w:p w:rsidR="009832E2" w:rsidRPr="00612923" w:rsidRDefault="009832E2" w:rsidP="00254844">
            <w:pPr>
              <w:pStyle w:val="TableHeader"/>
              <w:keepNext/>
            </w:pPr>
            <w:r w:rsidRPr="00612923">
              <w:t>CARE Status</w:t>
            </w:r>
          </w:p>
        </w:tc>
        <w:tc>
          <w:tcPr>
            <w:tcW w:w="1170" w:type="dxa"/>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9832E2" w:rsidRPr="00612923" w:rsidRDefault="009832E2" w:rsidP="00254844">
            <w:pPr>
              <w:pStyle w:val="TableHeader"/>
              <w:keepNext/>
            </w:pPr>
            <w:r w:rsidRPr="00612923">
              <w:t># of Accounts</w:t>
            </w:r>
          </w:p>
        </w:tc>
        <w:tc>
          <w:tcPr>
            <w:tcW w:w="1260" w:type="dxa"/>
            <w:tcBorders>
              <w:top w:val="single" w:sz="4" w:space="0" w:color="auto"/>
              <w:left w:val="nil"/>
              <w:bottom w:val="single" w:sz="4" w:space="0" w:color="auto"/>
              <w:right w:val="single" w:sz="4" w:space="0" w:color="FFFFFF"/>
            </w:tcBorders>
            <w:shd w:val="clear" w:color="000000" w:fill="1F497D"/>
            <w:vAlign w:val="center"/>
            <w:hideMark/>
          </w:tcPr>
          <w:p w:rsidR="009832E2" w:rsidRPr="00612923" w:rsidRDefault="009832E2" w:rsidP="00254844">
            <w:pPr>
              <w:pStyle w:val="TableHeader"/>
              <w:keepNext/>
            </w:pPr>
            <w:r w:rsidRPr="00612923">
              <w:t>Average Reference Load</w:t>
            </w:r>
            <w:r w:rsidR="004402F1" w:rsidRPr="00612923">
              <w:t xml:space="preserve"> </w:t>
            </w:r>
            <w:r w:rsidRPr="00612923">
              <w:t>(kW)</w:t>
            </w:r>
          </w:p>
        </w:tc>
        <w:tc>
          <w:tcPr>
            <w:tcW w:w="1340" w:type="dxa"/>
            <w:tcBorders>
              <w:top w:val="single" w:sz="4" w:space="0" w:color="auto"/>
              <w:left w:val="nil"/>
              <w:bottom w:val="single" w:sz="4" w:space="0" w:color="auto"/>
              <w:right w:val="single" w:sz="4" w:space="0" w:color="FFFFFF"/>
            </w:tcBorders>
            <w:shd w:val="clear" w:color="000000" w:fill="1F497D"/>
            <w:vAlign w:val="center"/>
            <w:hideMark/>
          </w:tcPr>
          <w:p w:rsidR="009832E2" w:rsidRPr="00612923" w:rsidRDefault="009832E2" w:rsidP="00254844">
            <w:pPr>
              <w:pStyle w:val="TableHeader"/>
              <w:keepNext/>
            </w:pPr>
            <w:r w:rsidRPr="00612923">
              <w:t>Average Estimated Load with DR</w:t>
            </w:r>
            <w:r w:rsidR="004402F1" w:rsidRPr="00612923">
              <w:t xml:space="preserve"> </w:t>
            </w:r>
            <w:r w:rsidRPr="00612923">
              <w:t>(kW)</w:t>
            </w:r>
          </w:p>
        </w:tc>
        <w:tc>
          <w:tcPr>
            <w:tcW w:w="1194" w:type="dxa"/>
            <w:tcBorders>
              <w:top w:val="single" w:sz="4" w:space="0" w:color="auto"/>
              <w:left w:val="single" w:sz="4" w:space="0" w:color="FFFFFF"/>
              <w:bottom w:val="single" w:sz="4" w:space="0" w:color="auto"/>
              <w:right w:val="single" w:sz="4" w:space="0" w:color="FFFFFF"/>
            </w:tcBorders>
            <w:shd w:val="clear" w:color="000000" w:fill="1F497D"/>
            <w:vAlign w:val="center"/>
            <w:hideMark/>
          </w:tcPr>
          <w:p w:rsidR="009832E2" w:rsidRPr="00612923" w:rsidRDefault="009832E2" w:rsidP="00254844">
            <w:pPr>
              <w:pStyle w:val="TableHeader"/>
              <w:keepNext/>
            </w:pPr>
            <w:r w:rsidRPr="00612923">
              <w:t>Average Load Reduction (kW)</w:t>
            </w:r>
          </w:p>
        </w:tc>
        <w:tc>
          <w:tcPr>
            <w:tcW w:w="1246" w:type="dxa"/>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9832E2" w:rsidRPr="00612923" w:rsidRDefault="009832E2" w:rsidP="00254844">
            <w:pPr>
              <w:pStyle w:val="TableHeader"/>
              <w:keepNext/>
            </w:pPr>
            <w:r w:rsidRPr="00612923">
              <w:t>% Load Reduction</w:t>
            </w:r>
          </w:p>
        </w:tc>
        <w:tc>
          <w:tcPr>
            <w:tcW w:w="1432" w:type="dxa"/>
            <w:tcBorders>
              <w:top w:val="single" w:sz="4" w:space="0" w:color="auto"/>
              <w:left w:val="nil"/>
              <w:right w:val="single" w:sz="4" w:space="0" w:color="auto"/>
            </w:tcBorders>
            <w:shd w:val="clear" w:color="000000" w:fill="1F497D"/>
            <w:vAlign w:val="center"/>
            <w:hideMark/>
          </w:tcPr>
          <w:p w:rsidR="009832E2" w:rsidRPr="00612923" w:rsidRDefault="009832E2" w:rsidP="00254844">
            <w:pPr>
              <w:pStyle w:val="TableHeader"/>
              <w:keepNext/>
            </w:pPr>
            <w:r w:rsidRPr="00612923">
              <w:t>Average Temperature During Event</w:t>
            </w:r>
            <w:r w:rsidR="004402F1" w:rsidRPr="00612923">
              <w:t xml:space="preserve"> </w:t>
            </w:r>
            <w:r w:rsidRPr="00612923">
              <w:t>(°F)</w:t>
            </w:r>
          </w:p>
        </w:tc>
      </w:tr>
      <w:tr w:rsidR="00FD127A" w:rsidRPr="00612923" w:rsidTr="004402F1">
        <w:trPr>
          <w:trHeight w:val="300"/>
          <w:jc w:val="center"/>
        </w:trPr>
        <w:tc>
          <w:tcPr>
            <w:tcW w:w="10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9832E2">
            <w:pPr>
              <w:pStyle w:val="TableText"/>
            </w:pPr>
            <w:r w:rsidRPr="00612923">
              <w:t>SMR-Only</w:t>
            </w:r>
          </w:p>
        </w:tc>
        <w:tc>
          <w:tcPr>
            <w:tcW w:w="1135"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Non-CARE</w:t>
            </w:r>
          </w:p>
        </w:tc>
        <w:tc>
          <w:tcPr>
            <w:tcW w:w="117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24,529</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1.40</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1.13</w:t>
            </w:r>
          </w:p>
        </w:tc>
        <w:tc>
          <w:tcPr>
            <w:tcW w:w="1194"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0.27</w:t>
            </w:r>
          </w:p>
        </w:tc>
        <w:tc>
          <w:tcPr>
            <w:tcW w:w="124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19%</w:t>
            </w:r>
          </w:p>
        </w:tc>
        <w:tc>
          <w:tcPr>
            <w:tcW w:w="1432"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87</w:t>
            </w:r>
          </w:p>
        </w:tc>
      </w:tr>
      <w:tr w:rsidR="00FD127A" w:rsidRPr="00612923" w:rsidTr="00FD127A">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FD127A" w:rsidRPr="00612923" w:rsidRDefault="00FD127A" w:rsidP="009832E2">
            <w:pPr>
              <w:pStyle w:val="TableText"/>
            </w:pPr>
          </w:p>
        </w:tc>
        <w:tc>
          <w:tcPr>
            <w:tcW w:w="1135"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CARE</w:t>
            </w:r>
          </w:p>
        </w:tc>
        <w:tc>
          <w:tcPr>
            <w:tcW w:w="117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13,762</w:t>
            </w:r>
          </w:p>
        </w:tc>
        <w:tc>
          <w:tcPr>
            <w:tcW w:w="12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1.75</w:t>
            </w:r>
          </w:p>
        </w:tc>
        <w:tc>
          <w:tcPr>
            <w:tcW w:w="13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1.59</w:t>
            </w:r>
          </w:p>
        </w:tc>
        <w:tc>
          <w:tcPr>
            <w:tcW w:w="1194"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0.16</w:t>
            </w:r>
          </w:p>
        </w:tc>
        <w:tc>
          <w:tcPr>
            <w:tcW w:w="124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9%</w:t>
            </w:r>
          </w:p>
        </w:tc>
        <w:tc>
          <w:tcPr>
            <w:tcW w:w="1432"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94</w:t>
            </w:r>
          </w:p>
        </w:tc>
      </w:tr>
      <w:tr w:rsidR="00FD127A" w:rsidRPr="00612923" w:rsidTr="00FD127A">
        <w:trPr>
          <w:trHeight w:val="300"/>
          <w:jc w:val="center"/>
        </w:trPr>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FD127A" w:rsidRPr="00612923" w:rsidRDefault="00FD127A" w:rsidP="009832E2">
            <w:pPr>
              <w:pStyle w:val="TableText"/>
            </w:pPr>
            <w:r w:rsidRPr="00612923">
              <w:t>Dually-Enrolled</w:t>
            </w:r>
          </w:p>
        </w:tc>
        <w:tc>
          <w:tcPr>
            <w:tcW w:w="1135"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Non-CARE</w:t>
            </w:r>
          </w:p>
        </w:tc>
        <w:tc>
          <w:tcPr>
            <w:tcW w:w="117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20,298</w:t>
            </w:r>
          </w:p>
        </w:tc>
        <w:tc>
          <w:tcPr>
            <w:tcW w:w="12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1.62</w:t>
            </w:r>
          </w:p>
        </w:tc>
        <w:tc>
          <w:tcPr>
            <w:tcW w:w="13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1.21</w:t>
            </w:r>
          </w:p>
        </w:tc>
        <w:tc>
          <w:tcPr>
            <w:tcW w:w="1194"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0.41</w:t>
            </w:r>
          </w:p>
        </w:tc>
        <w:tc>
          <w:tcPr>
            <w:tcW w:w="124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25%</w:t>
            </w:r>
          </w:p>
        </w:tc>
        <w:tc>
          <w:tcPr>
            <w:tcW w:w="1432"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rPr>
                <w:rFonts w:cs="Arial"/>
                <w:szCs w:val="18"/>
              </w:rPr>
            </w:pPr>
            <w:r w:rsidRPr="00612923">
              <w:rPr>
                <w:rFonts w:cs="Arial"/>
                <w:szCs w:val="18"/>
              </w:rPr>
              <w:t>91</w:t>
            </w:r>
          </w:p>
        </w:tc>
      </w:tr>
      <w:tr w:rsidR="00FD127A" w:rsidRPr="00612923" w:rsidTr="00FD127A">
        <w:trPr>
          <w:trHeight w:val="300"/>
          <w:jc w:val="center"/>
        </w:trPr>
        <w:tc>
          <w:tcPr>
            <w:tcW w:w="1040" w:type="dxa"/>
            <w:vMerge/>
            <w:tcBorders>
              <w:top w:val="nil"/>
              <w:left w:val="single" w:sz="4" w:space="0" w:color="auto"/>
              <w:bottom w:val="single" w:sz="4" w:space="0" w:color="000000"/>
              <w:right w:val="single" w:sz="4" w:space="0" w:color="auto"/>
            </w:tcBorders>
            <w:vAlign w:val="center"/>
            <w:hideMark/>
          </w:tcPr>
          <w:p w:rsidR="00FD127A" w:rsidRPr="00612923" w:rsidRDefault="00FD127A" w:rsidP="009832E2">
            <w:pPr>
              <w:pStyle w:val="TableText"/>
            </w:pPr>
          </w:p>
        </w:tc>
        <w:tc>
          <w:tcPr>
            <w:tcW w:w="1135"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rPr>
                <w:rFonts w:cs="Arial"/>
                <w:szCs w:val="18"/>
              </w:rPr>
            </w:pPr>
            <w:r w:rsidRPr="00612923">
              <w:rPr>
                <w:rFonts w:cs="Arial"/>
                <w:szCs w:val="18"/>
              </w:rPr>
              <w:t>CARE</w:t>
            </w:r>
          </w:p>
        </w:tc>
        <w:tc>
          <w:tcPr>
            <w:tcW w:w="117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rPr>
                <w:rFonts w:cs="Arial"/>
                <w:szCs w:val="18"/>
              </w:rPr>
            </w:pPr>
            <w:r w:rsidRPr="00612923">
              <w:rPr>
                <w:rFonts w:cs="Arial"/>
                <w:szCs w:val="18"/>
              </w:rPr>
              <w:t>1,786</w:t>
            </w:r>
          </w:p>
        </w:tc>
        <w:tc>
          <w:tcPr>
            <w:tcW w:w="12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rPr>
                <w:rFonts w:cs="Arial"/>
                <w:szCs w:val="18"/>
              </w:rPr>
            </w:pPr>
            <w:r w:rsidRPr="00612923">
              <w:rPr>
                <w:rFonts w:cs="Arial"/>
                <w:szCs w:val="18"/>
              </w:rPr>
              <w:t>2.13</w:t>
            </w:r>
          </w:p>
        </w:tc>
        <w:tc>
          <w:tcPr>
            <w:tcW w:w="13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rPr>
                <w:rFonts w:cs="Arial"/>
                <w:szCs w:val="18"/>
              </w:rPr>
            </w:pPr>
            <w:r w:rsidRPr="00612923">
              <w:rPr>
                <w:rFonts w:cs="Arial"/>
                <w:szCs w:val="18"/>
              </w:rPr>
              <w:t>1.78</w:t>
            </w:r>
          </w:p>
        </w:tc>
        <w:tc>
          <w:tcPr>
            <w:tcW w:w="1194"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rPr>
                <w:rFonts w:cs="Arial"/>
                <w:szCs w:val="18"/>
              </w:rPr>
            </w:pPr>
            <w:r w:rsidRPr="00612923">
              <w:rPr>
                <w:rFonts w:cs="Arial"/>
                <w:szCs w:val="18"/>
              </w:rPr>
              <w:t>0.35</w:t>
            </w:r>
          </w:p>
        </w:tc>
        <w:tc>
          <w:tcPr>
            <w:tcW w:w="124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rPr>
                <w:rFonts w:cs="Arial"/>
                <w:szCs w:val="18"/>
              </w:rPr>
            </w:pPr>
            <w:r w:rsidRPr="00612923">
              <w:rPr>
                <w:rFonts w:cs="Arial"/>
                <w:szCs w:val="18"/>
              </w:rPr>
              <w:t>16%</w:t>
            </w:r>
          </w:p>
        </w:tc>
        <w:tc>
          <w:tcPr>
            <w:tcW w:w="1432"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rPr>
                <w:rFonts w:cs="Arial"/>
                <w:szCs w:val="18"/>
              </w:rPr>
            </w:pPr>
            <w:r w:rsidRPr="00612923">
              <w:rPr>
                <w:rFonts w:cs="Arial"/>
                <w:szCs w:val="18"/>
              </w:rPr>
              <w:t>96</w:t>
            </w:r>
          </w:p>
        </w:tc>
      </w:tr>
    </w:tbl>
    <w:p w:rsidR="00FD127A" w:rsidRPr="00612923" w:rsidRDefault="00FD127A" w:rsidP="009832E2">
      <w:pPr>
        <w:pStyle w:val="Heading3"/>
        <w:spacing w:before="360"/>
        <w:ind w:left="1354" w:hanging="994"/>
      </w:pPr>
      <w:bookmarkStart w:id="40" w:name="_Toc349193887"/>
      <w:bookmarkStart w:id="41" w:name="_Toc352567302"/>
      <w:r w:rsidRPr="00612923">
        <w:t>Load Impacts and Event Notification</w:t>
      </w:r>
      <w:bookmarkEnd w:id="40"/>
      <w:bookmarkEnd w:id="41"/>
    </w:p>
    <w:p w:rsidR="00FD127A" w:rsidRPr="00612923" w:rsidRDefault="00FD127A" w:rsidP="00FD127A">
      <w:pPr>
        <w:pStyle w:val="BodyParagraph"/>
      </w:pPr>
      <w:r w:rsidRPr="00612923">
        <w:t>At the time they sign up for SmartRate, customers are asked to indicate whether or not they want to</w:t>
      </w:r>
      <w:r w:rsidR="00D034CA" w:rsidRPr="00612923">
        <w:t> </w:t>
      </w:r>
      <w:r w:rsidRPr="00612923">
        <w:t xml:space="preserve">be notified about events and, if so, to provide up to four different notification options (e.g., one or more email addresses, one or more telephone numbers).  Table 4-6 shows the percentage of SmartRate-only customers who were successfully notified through one or more options for each event.  The column labeled “none” in the table includes both customers who did not provide notification </w:t>
      </w:r>
      <w:r w:rsidRPr="00612923">
        <w:lastRenderedPageBreak/>
        <w:t>information as well as those who provided information that subsequently became invalid.  As the table shows, for the average event, 12% of customers were not successfully notified.  Thirty-three percent of customers were successfully notified once per event, 35% were notified twice per event and 21% were notified either three or four times for the average event.</w:t>
      </w:r>
    </w:p>
    <w:p w:rsidR="00FD127A" w:rsidRPr="00612923" w:rsidRDefault="00FD127A" w:rsidP="00FD127A">
      <w:pPr>
        <w:pStyle w:val="BodyParagraph"/>
      </w:pPr>
      <w:r w:rsidRPr="00612923">
        <w:t>Table 4-7 shows the percentage of dually-enrolled customers who were successfully notified through one or more options for each event.  For this group, for the average event, 6% of customers were not successfully notified.  Twenty-nine percent of customers were successfully notified once per event, 41% were notified twice per event and 24% were notified either three or four times for the average event.</w:t>
      </w:r>
    </w:p>
    <w:p w:rsidR="00FD127A" w:rsidRPr="00612923" w:rsidRDefault="00FD127A" w:rsidP="00FD127A">
      <w:pPr>
        <w:pStyle w:val="TableFigureCaption"/>
      </w:pPr>
      <w:bookmarkStart w:id="42" w:name="_Ref286687333"/>
      <w:r w:rsidRPr="00612923">
        <w:t>Table 4</w:t>
      </w:r>
      <w:bookmarkEnd w:id="42"/>
      <w:r w:rsidR="009832E2" w:rsidRPr="00612923">
        <w:t>-</w:t>
      </w:r>
      <w:r w:rsidRPr="00612923">
        <w:t>6</w:t>
      </w:r>
      <w:r w:rsidR="00D034CA" w:rsidRPr="00612923">
        <w:t>: Percent of SmartRate-o</w:t>
      </w:r>
      <w:r w:rsidRPr="00612923">
        <w:t>nly Customers Notified for Each Event</w:t>
      </w:r>
    </w:p>
    <w:tbl>
      <w:tblPr>
        <w:tblW w:w="4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5"/>
        <w:gridCol w:w="810"/>
        <w:gridCol w:w="810"/>
        <w:gridCol w:w="720"/>
        <w:gridCol w:w="720"/>
        <w:gridCol w:w="630"/>
      </w:tblGrid>
      <w:tr w:rsidR="00FD127A" w:rsidRPr="00612923" w:rsidTr="003E2E3C">
        <w:trPr>
          <w:trHeight w:val="197"/>
          <w:jc w:val="center"/>
        </w:trPr>
        <w:tc>
          <w:tcPr>
            <w:tcW w:w="1275" w:type="dxa"/>
            <w:vMerge w:val="restart"/>
            <w:tcBorders>
              <w:righ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Date</w:t>
            </w:r>
          </w:p>
        </w:tc>
        <w:tc>
          <w:tcPr>
            <w:tcW w:w="3690" w:type="dxa"/>
            <w:gridSpan w:val="5"/>
            <w:tcBorders>
              <w:left w:val="single" w:sz="4" w:space="0" w:color="FFFFFF" w:themeColor="background1"/>
              <w:bottom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Number of successful notifications</w:t>
            </w:r>
          </w:p>
        </w:tc>
      </w:tr>
      <w:tr w:rsidR="00FD127A" w:rsidRPr="00612923" w:rsidTr="003E2E3C">
        <w:trPr>
          <w:trHeight w:val="116"/>
          <w:jc w:val="center"/>
        </w:trPr>
        <w:tc>
          <w:tcPr>
            <w:tcW w:w="1275" w:type="dxa"/>
            <w:vMerge/>
            <w:tcBorders>
              <w:right w:val="single" w:sz="4" w:space="0" w:color="FFFFFF" w:themeColor="background1"/>
            </w:tcBorders>
            <w:vAlign w:val="center"/>
            <w:hideMark/>
          </w:tcPr>
          <w:p w:rsidR="00FD127A" w:rsidRPr="00612923" w:rsidRDefault="00FD127A" w:rsidP="00254844">
            <w:pPr>
              <w:pStyle w:val="TableHeader"/>
              <w:keepNext/>
              <w:contextualSpacing/>
            </w:pPr>
          </w:p>
        </w:tc>
        <w:tc>
          <w:tcPr>
            <w:tcW w:w="81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None</w:t>
            </w:r>
          </w:p>
        </w:tc>
        <w:tc>
          <w:tcPr>
            <w:tcW w:w="81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1</w:t>
            </w:r>
          </w:p>
        </w:tc>
        <w:tc>
          <w:tcPr>
            <w:tcW w:w="72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2</w:t>
            </w:r>
          </w:p>
        </w:tc>
        <w:tc>
          <w:tcPr>
            <w:tcW w:w="72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3</w:t>
            </w:r>
          </w:p>
        </w:tc>
        <w:tc>
          <w:tcPr>
            <w:tcW w:w="630" w:type="dxa"/>
            <w:tcBorders>
              <w:top w:val="single" w:sz="4" w:space="0" w:color="FFFFFF" w:themeColor="background1"/>
              <w:lef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4</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254844">
            <w:pPr>
              <w:pStyle w:val="TableText"/>
              <w:keepNext/>
            </w:pPr>
            <w:r w:rsidRPr="00612923">
              <w:t>9-Jul-12</w:t>
            </w:r>
          </w:p>
        </w:tc>
        <w:tc>
          <w:tcPr>
            <w:tcW w:w="810" w:type="dxa"/>
            <w:shd w:val="clear" w:color="auto" w:fill="auto"/>
            <w:noWrap/>
            <w:vAlign w:val="center"/>
            <w:hideMark/>
          </w:tcPr>
          <w:p w:rsidR="00FD127A" w:rsidRPr="00612923" w:rsidRDefault="00FD127A" w:rsidP="00254844">
            <w:pPr>
              <w:pStyle w:val="TableText"/>
              <w:keepNext/>
            </w:pPr>
            <w:r w:rsidRPr="00612923">
              <w:t>13%</w:t>
            </w:r>
          </w:p>
        </w:tc>
        <w:tc>
          <w:tcPr>
            <w:tcW w:w="810" w:type="dxa"/>
            <w:shd w:val="clear" w:color="auto" w:fill="auto"/>
            <w:noWrap/>
            <w:vAlign w:val="center"/>
            <w:hideMark/>
          </w:tcPr>
          <w:p w:rsidR="00FD127A" w:rsidRPr="00612923" w:rsidRDefault="00FD127A" w:rsidP="00254844">
            <w:pPr>
              <w:pStyle w:val="TableText"/>
              <w:keepNext/>
            </w:pPr>
            <w:r w:rsidRPr="00612923">
              <w:t>33%</w:t>
            </w:r>
          </w:p>
        </w:tc>
        <w:tc>
          <w:tcPr>
            <w:tcW w:w="720" w:type="dxa"/>
            <w:shd w:val="clear" w:color="auto" w:fill="auto"/>
            <w:noWrap/>
            <w:vAlign w:val="center"/>
            <w:hideMark/>
          </w:tcPr>
          <w:p w:rsidR="00FD127A" w:rsidRPr="00612923" w:rsidRDefault="00FD127A" w:rsidP="00254844">
            <w:pPr>
              <w:pStyle w:val="TableText"/>
              <w:keepNext/>
            </w:pPr>
            <w:r w:rsidRPr="00612923">
              <w:t>34%</w:t>
            </w:r>
          </w:p>
        </w:tc>
        <w:tc>
          <w:tcPr>
            <w:tcW w:w="720" w:type="dxa"/>
            <w:shd w:val="clear" w:color="auto" w:fill="auto"/>
            <w:noWrap/>
            <w:vAlign w:val="center"/>
            <w:hideMark/>
          </w:tcPr>
          <w:p w:rsidR="00FD127A" w:rsidRPr="00612923" w:rsidRDefault="00FD127A" w:rsidP="00254844">
            <w:pPr>
              <w:pStyle w:val="TableText"/>
              <w:keepNext/>
            </w:pPr>
            <w:r w:rsidRPr="00612923">
              <w:t>15%</w:t>
            </w:r>
          </w:p>
        </w:tc>
        <w:tc>
          <w:tcPr>
            <w:tcW w:w="630" w:type="dxa"/>
            <w:shd w:val="clear" w:color="auto" w:fill="auto"/>
            <w:noWrap/>
            <w:vAlign w:val="center"/>
            <w:hideMark/>
          </w:tcPr>
          <w:p w:rsidR="00FD127A" w:rsidRPr="00612923" w:rsidRDefault="00FD127A" w:rsidP="00254844">
            <w:pPr>
              <w:pStyle w:val="TableText"/>
              <w:keepNext/>
            </w:pPr>
            <w:r w:rsidRPr="00612923">
              <w:t>6%</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254844">
            <w:pPr>
              <w:pStyle w:val="TableText"/>
              <w:keepNext/>
            </w:pPr>
            <w:r w:rsidRPr="00612923">
              <w:t>10-Jul-12</w:t>
            </w:r>
          </w:p>
        </w:tc>
        <w:tc>
          <w:tcPr>
            <w:tcW w:w="810" w:type="dxa"/>
            <w:shd w:val="clear" w:color="auto" w:fill="auto"/>
            <w:noWrap/>
            <w:vAlign w:val="center"/>
            <w:hideMark/>
          </w:tcPr>
          <w:p w:rsidR="00FD127A" w:rsidRPr="00612923" w:rsidRDefault="00FD127A" w:rsidP="00254844">
            <w:pPr>
              <w:pStyle w:val="TableText"/>
              <w:keepNext/>
            </w:pPr>
            <w:r w:rsidRPr="00612923">
              <w:t>13%</w:t>
            </w:r>
          </w:p>
        </w:tc>
        <w:tc>
          <w:tcPr>
            <w:tcW w:w="810" w:type="dxa"/>
            <w:shd w:val="clear" w:color="auto" w:fill="auto"/>
            <w:noWrap/>
            <w:vAlign w:val="center"/>
            <w:hideMark/>
          </w:tcPr>
          <w:p w:rsidR="00FD127A" w:rsidRPr="00612923" w:rsidRDefault="00FD127A" w:rsidP="00254844">
            <w:pPr>
              <w:pStyle w:val="TableText"/>
              <w:keepNext/>
            </w:pPr>
            <w:r w:rsidRPr="00612923">
              <w:t>32%</w:t>
            </w:r>
          </w:p>
        </w:tc>
        <w:tc>
          <w:tcPr>
            <w:tcW w:w="720" w:type="dxa"/>
            <w:shd w:val="clear" w:color="auto" w:fill="auto"/>
            <w:noWrap/>
            <w:vAlign w:val="center"/>
            <w:hideMark/>
          </w:tcPr>
          <w:p w:rsidR="00FD127A" w:rsidRPr="00612923" w:rsidRDefault="00FD127A" w:rsidP="00254844">
            <w:pPr>
              <w:pStyle w:val="TableText"/>
              <w:keepNext/>
            </w:pPr>
            <w:r w:rsidRPr="00612923">
              <w:t>34%</w:t>
            </w:r>
          </w:p>
        </w:tc>
        <w:tc>
          <w:tcPr>
            <w:tcW w:w="720" w:type="dxa"/>
            <w:shd w:val="clear" w:color="auto" w:fill="auto"/>
            <w:noWrap/>
            <w:vAlign w:val="center"/>
            <w:hideMark/>
          </w:tcPr>
          <w:p w:rsidR="00FD127A" w:rsidRPr="00612923" w:rsidRDefault="00FD127A" w:rsidP="00254844">
            <w:pPr>
              <w:pStyle w:val="TableText"/>
              <w:keepNext/>
            </w:pPr>
            <w:r w:rsidRPr="00612923">
              <w:t>15%</w:t>
            </w:r>
          </w:p>
        </w:tc>
        <w:tc>
          <w:tcPr>
            <w:tcW w:w="630" w:type="dxa"/>
            <w:shd w:val="clear" w:color="auto" w:fill="auto"/>
            <w:noWrap/>
            <w:vAlign w:val="center"/>
            <w:hideMark/>
          </w:tcPr>
          <w:p w:rsidR="00FD127A" w:rsidRPr="00612923" w:rsidRDefault="00FD127A" w:rsidP="00254844">
            <w:pPr>
              <w:pStyle w:val="TableText"/>
              <w:keepNext/>
            </w:pPr>
            <w:r w:rsidRPr="00612923">
              <w:t>6%</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254844">
            <w:pPr>
              <w:pStyle w:val="TableText"/>
              <w:keepNext/>
            </w:pPr>
            <w:r w:rsidRPr="00612923">
              <w:t>11-Jul-12</w:t>
            </w:r>
          </w:p>
        </w:tc>
        <w:tc>
          <w:tcPr>
            <w:tcW w:w="810" w:type="dxa"/>
            <w:shd w:val="clear" w:color="auto" w:fill="auto"/>
            <w:noWrap/>
            <w:vAlign w:val="center"/>
            <w:hideMark/>
          </w:tcPr>
          <w:p w:rsidR="00FD127A" w:rsidRPr="00612923" w:rsidRDefault="00FD127A" w:rsidP="00254844">
            <w:pPr>
              <w:pStyle w:val="TableText"/>
              <w:keepNext/>
            </w:pPr>
            <w:r w:rsidRPr="00612923">
              <w:t>13%</w:t>
            </w:r>
          </w:p>
        </w:tc>
        <w:tc>
          <w:tcPr>
            <w:tcW w:w="810" w:type="dxa"/>
            <w:shd w:val="clear" w:color="auto" w:fill="auto"/>
            <w:noWrap/>
            <w:vAlign w:val="center"/>
            <w:hideMark/>
          </w:tcPr>
          <w:p w:rsidR="00FD127A" w:rsidRPr="00612923" w:rsidRDefault="00FD127A" w:rsidP="00254844">
            <w:pPr>
              <w:pStyle w:val="TableText"/>
              <w:keepNext/>
            </w:pPr>
            <w:r w:rsidRPr="00612923">
              <w:t>32%</w:t>
            </w:r>
          </w:p>
        </w:tc>
        <w:tc>
          <w:tcPr>
            <w:tcW w:w="720" w:type="dxa"/>
            <w:shd w:val="clear" w:color="auto" w:fill="auto"/>
            <w:noWrap/>
            <w:vAlign w:val="center"/>
            <w:hideMark/>
          </w:tcPr>
          <w:p w:rsidR="00FD127A" w:rsidRPr="00612923" w:rsidRDefault="00FD127A" w:rsidP="00254844">
            <w:pPr>
              <w:pStyle w:val="TableText"/>
              <w:keepNext/>
            </w:pPr>
            <w:r w:rsidRPr="00612923">
              <w:t>34%</w:t>
            </w:r>
          </w:p>
        </w:tc>
        <w:tc>
          <w:tcPr>
            <w:tcW w:w="720" w:type="dxa"/>
            <w:shd w:val="clear" w:color="auto" w:fill="auto"/>
            <w:noWrap/>
            <w:vAlign w:val="center"/>
            <w:hideMark/>
          </w:tcPr>
          <w:p w:rsidR="00FD127A" w:rsidRPr="00612923" w:rsidRDefault="00FD127A" w:rsidP="00254844">
            <w:pPr>
              <w:pStyle w:val="TableText"/>
              <w:keepNext/>
            </w:pPr>
            <w:r w:rsidRPr="00612923">
              <w:t>15%</w:t>
            </w:r>
          </w:p>
        </w:tc>
        <w:tc>
          <w:tcPr>
            <w:tcW w:w="630" w:type="dxa"/>
            <w:shd w:val="clear" w:color="auto" w:fill="auto"/>
            <w:noWrap/>
            <w:vAlign w:val="center"/>
            <w:hideMark/>
          </w:tcPr>
          <w:p w:rsidR="00FD127A" w:rsidRPr="00612923" w:rsidRDefault="00FD127A" w:rsidP="00254844">
            <w:pPr>
              <w:pStyle w:val="TableText"/>
              <w:keepNext/>
            </w:pPr>
            <w:r w:rsidRPr="00612923">
              <w:t>6%</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254844">
            <w:pPr>
              <w:pStyle w:val="TableText"/>
              <w:keepNext/>
            </w:pPr>
            <w:r w:rsidRPr="00612923">
              <w:t>23-Jul-12</w:t>
            </w:r>
          </w:p>
        </w:tc>
        <w:tc>
          <w:tcPr>
            <w:tcW w:w="810" w:type="dxa"/>
            <w:shd w:val="clear" w:color="auto" w:fill="auto"/>
            <w:noWrap/>
            <w:vAlign w:val="center"/>
            <w:hideMark/>
          </w:tcPr>
          <w:p w:rsidR="00FD127A" w:rsidRPr="00612923" w:rsidRDefault="00FD127A" w:rsidP="00254844">
            <w:pPr>
              <w:pStyle w:val="TableText"/>
              <w:keepNext/>
            </w:pPr>
            <w:r w:rsidRPr="00612923">
              <w:t>11%</w:t>
            </w:r>
          </w:p>
        </w:tc>
        <w:tc>
          <w:tcPr>
            <w:tcW w:w="810" w:type="dxa"/>
            <w:shd w:val="clear" w:color="auto" w:fill="auto"/>
            <w:noWrap/>
            <w:vAlign w:val="center"/>
            <w:hideMark/>
          </w:tcPr>
          <w:p w:rsidR="00FD127A" w:rsidRPr="00612923" w:rsidRDefault="00FD127A" w:rsidP="00254844">
            <w:pPr>
              <w:pStyle w:val="TableText"/>
              <w:keepNext/>
            </w:pPr>
            <w:r w:rsidRPr="00612923">
              <w:t>31%</w:t>
            </w:r>
          </w:p>
        </w:tc>
        <w:tc>
          <w:tcPr>
            <w:tcW w:w="720" w:type="dxa"/>
            <w:shd w:val="clear" w:color="auto" w:fill="auto"/>
            <w:noWrap/>
            <w:vAlign w:val="center"/>
            <w:hideMark/>
          </w:tcPr>
          <w:p w:rsidR="00FD127A" w:rsidRPr="00612923" w:rsidRDefault="00FD127A" w:rsidP="00254844">
            <w:pPr>
              <w:pStyle w:val="TableText"/>
              <w:keepNext/>
            </w:pPr>
            <w:r w:rsidRPr="00612923">
              <w:t>36%</w:t>
            </w:r>
          </w:p>
        </w:tc>
        <w:tc>
          <w:tcPr>
            <w:tcW w:w="720" w:type="dxa"/>
            <w:shd w:val="clear" w:color="auto" w:fill="auto"/>
            <w:noWrap/>
            <w:vAlign w:val="center"/>
            <w:hideMark/>
          </w:tcPr>
          <w:p w:rsidR="00FD127A" w:rsidRPr="00612923" w:rsidRDefault="00FD127A" w:rsidP="00254844">
            <w:pPr>
              <w:pStyle w:val="TableText"/>
              <w:keepNext/>
            </w:pPr>
            <w:r w:rsidRPr="00612923">
              <w:t>16%</w:t>
            </w:r>
          </w:p>
        </w:tc>
        <w:tc>
          <w:tcPr>
            <w:tcW w:w="630" w:type="dxa"/>
            <w:shd w:val="clear" w:color="auto" w:fill="auto"/>
            <w:noWrap/>
            <w:vAlign w:val="center"/>
            <w:hideMark/>
          </w:tcPr>
          <w:p w:rsidR="00FD127A" w:rsidRPr="00612923" w:rsidRDefault="00FD127A" w:rsidP="00254844">
            <w:pPr>
              <w:pStyle w:val="TableText"/>
              <w:keepNext/>
            </w:pPr>
            <w:r w:rsidRPr="00612923">
              <w:t>7%</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254844">
            <w:pPr>
              <w:pStyle w:val="TableText"/>
              <w:keepNext/>
            </w:pPr>
            <w:r w:rsidRPr="00612923">
              <w:t>4-Sep-12</w:t>
            </w:r>
          </w:p>
        </w:tc>
        <w:tc>
          <w:tcPr>
            <w:tcW w:w="810" w:type="dxa"/>
            <w:shd w:val="clear" w:color="auto" w:fill="auto"/>
            <w:noWrap/>
            <w:vAlign w:val="center"/>
            <w:hideMark/>
          </w:tcPr>
          <w:p w:rsidR="00FD127A" w:rsidRPr="00612923" w:rsidRDefault="00FD127A" w:rsidP="00254844">
            <w:pPr>
              <w:pStyle w:val="TableText"/>
              <w:keepNext/>
            </w:pPr>
            <w:r w:rsidRPr="00612923">
              <w:t>11%</w:t>
            </w:r>
          </w:p>
        </w:tc>
        <w:tc>
          <w:tcPr>
            <w:tcW w:w="810" w:type="dxa"/>
            <w:shd w:val="clear" w:color="auto" w:fill="auto"/>
            <w:noWrap/>
            <w:vAlign w:val="center"/>
            <w:hideMark/>
          </w:tcPr>
          <w:p w:rsidR="00FD127A" w:rsidRPr="00612923" w:rsidRDefault="00FD127A" w:rsidP="00254844">
            <w:pPr>
              <w:pStyle w:val="TableText"/>
              <w:keepNext/>
            </w:pPr>
            <w:r w:rsidRPr="00612923">
              <w:t>32%</w:t>
            </w:r>
          </w:p>
        </w:tc>
        <w:tc>
          <w:tcPr>
            <w:tcW w:w="720" w:type="dxa"/>
            <w:shd w:val="clear" w:color="auto" w:fill="auto"/>
            <w:noWrap/>
            <w:vAlign w:val="center"/>
            <w:hideMark/>
          </w:tcPr>
          <w:p w:rsidR="00FD127A" w:rsidRPr="00612923" w:rsidRDefault="00FD127A" w:rsidP="00254844">
            <w:pPr>
              <w:pStyle w:val="TableText"/>
              <w:keepNext/>
            </w:pPr>
            <w:r w:rsidRPr="00612923">
              <w:t>36%</w:t>
            </w:r>
          </w:p>
        </w:tc>
        <w:tc>
          <w:tcPr>
            <w:tcW w:w="720" w:type="dxa"/>
            <w:shd w:val="clear" w:color="auto" w:fill="auto"/>
            <w:noWrap/>
            <w:vAlign w:val="center"/>
            <w:hideMark/>
          </w:tcPr>
          <w:p w:rsidR="00FD127A" w:rsidRPr="00612923" w:rsidRDefault="00FD127A" w:rsidP="00254844">
            <w:pPr>
              <w:pStyle w:val="TableText"/>
              <w:keepNext/>
            </w:pPr>
            <w:r w:rsidRPr="00612923">
              <w:t>15%</w:t>
            </w:r>
          </w:p>
        </w:tc>
        <w:tc>
          <w:tcPr>
            <w:tcW w:w="630" w:type="dxa"/>
            <w:shd w:val="clear" w:color="auto" w:fill="auto"/>
            <w:noWrap/>
            <w:vAlign w:val="center"/>
            <w:hideMark/>
          </w:tcPr>
          <w:p w:rsidR="00FD127A" w:rsidRPr="00612923" w:rsidRDefault="00FD127A" w:rsidP="00254844">
            <w:pPr>
              <w:pStyle w:val="TableText"/>
              <w:keepNext/>
            </w:pPr>
            <w:r w:rsidRPr="00612923">
              <w:t>6%</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254844">
            <w:pPr>
              <w:pStyle w:val="TableText"/>
              <w:keepNext/>
            </w:pPr>
            <w:r w:rsidRPr="00612923">
              <w:t>13-Sep-12</w:t>
            </w:r>
          </w:p>
        </w:tc>
        <w:tc>
          <w:tcPr>
            <w:tcW w:w="810" w:type="dxa"/>
            <w:shd w:val="clear" w:color="auto" w:fill="auto"/>
            <w:noWrap/>
            <w:vAlign w:val="center"/>
            <w:hideMark/>
          </w:tcPr>
          <w:p w:rsidR="00FD127A" w:rsidRPr="00612923" w:rsidRDefault="00FD127A" w:rsidP="00254844">
            <w:pPr>
              <w:pStyle w:val="TableText"/>
              <w:keepNext/>
            </w:pPr>
            <w:r w:rsidRPr="00612923">
              <w:t>11%</w:t>
            </w:r>
          </w:p>
        </w:tc>
        <w:tc>
          <w:tcPr>
            <w:tcW w:w="810" w:type="dxa"/>
            <w:shd w:val="clear" w:color="auto" w:fill="auto"/>
            <w:noWrap/>
            <w:vAlign w:val="center"/>
            <w:hideMark/>
          </w:tcPr>
          <w:p w:rsidR="00FD127A" w:rsidRPr="00612923" w:rsidRDefault="00FD127A" w:rsidP="00254844">
            <w:pPr>
              <w:pStyle w:val="TableText"/>
              <w:keepNext/>
            </w:pPr>
            <w:r w:rsidRPr="00612923">
              <w:t>32%</w:t>
            </w:r>
          </w:p>
        </w:tc>
        <w:tc>
          <w:tcPr>
            <w:tcW w:w="720" w:type="dxa"/>
            <w:shd w:val="clear" w:color="auto" w:fill="auto"/>
            <w:noWrap/>
            <w:vAlign w:val="center"/>
            <w:hideMark/>
          </w:tcPr>
          <w:p w:rsidR="00FD127A" w:rsidRPr="00612923" w:rsidRDefault="00FD127A" w:rsidP="00254844">
            <w:pPr>
              <w:pStyle w:val="TableText"/>
              <w:keepNext/>
            </w:pPr>
            <w:r w:rsidRPr="00612923">
              <w:t>36%</w:t>
            </w:r>
          </w:p>
        </w:tc>
        <w:tc>
          <w:tcPr>
            <w:tcW w:w="720" w:type="dxa"/>
            <w:shd w:val="clear" w:color="auto" w:fill="auto"/>
            <w:noWrap/>
            <w:vAlign w:val="center"/>
            <w:hideMark/>
          </w:tcPr>
          <w:p w:rsidR="00FD127A" w:rsidRPr="00612923" w:rsidRDefault="00FD127A" w:rsidP="00254844">
            <w:pPr>
              <w:pStyle w:val="TableText"/>
              <w:keepNext/>
            </w:pPr>
            <w:r w:rsidRPr="00612923">
              <w:t>15%</w:t>
            </w:r>
          </w:p>
        </w:tc>
        <w:tc>
          <w:tcPr>
            <w:tcW w:w="630" w:type="dxa"/>
            <w:shd w:val="clear" w:color="auto" w:fill="auto"/>
            <w:noWrap/>
            <w:vAlign w:val="center"/>
            <w:hideMark/>
          </w:tcPr>
          <w:p w:rsidR="00FD127A" w:rsidRPr="00612923" w:rsidRDefault="00FD127A" w:rsidP="00254844">
            <w:pPr>
              <w:pStyle w:val="TableText"/>
              <w:keepNext/>
            </w:pPr>
            <w:r w:rsidRPr="00612923">
              <w:t>6%</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254844">
            <w:pPr>
              <w:pStyle w:val="TableText"/>
              <w:keepNext/>
            </w:pPr>
            <w:r w:rsidRPr="00612923">
              <w:t>14-Sep-12</w:t>
            </w:r>
          </w:p>
        </w:tc>
        <w:tc>
          <w:tcPr>
            <w:tcW w:w="810" w:type="dxa"/>
            <w:shd w:val="clear" w:color="auto" w:fill="auto"/>
            <w:noWrap/>
            <w:vAlign w:val="center"/>
            <w:hideMark/>
          </w:tcPr>
          <w:p w:rsidR="00FD127A" w:rsidRPr="00612923" w:rsidRDefault="00FD127A" w:rsidP="00254844">
            <w:pPr>
              <w:pStyle w:val="TableText"/>
              <w:keepNext/>
            </w:pPr>
            <w:r w:rsidRPr="00612923">
              <w:t>11%</w:t>
            </w:r>
          </w:p>
        </w:tc>
        <w:tc>
          <w:tcPr>
            <w:tcW w:w="810" w:type="dxa"/>
            <w:shd w:val="clear" w:color="auto" w:fill="auto"/>
            <w:noWrap/>
            <w:vAlign w:val="center"/>
            <w:hideMark/>
          </w:tcPr>
          <w:p w:rsidR="00FD127A" w:rsidRPr="00612923" w:rsidRDefault="00FD127A" w:rsidP="00254844">
            <w:pPr>
              <w:pStyle w:val="TableText"/>
              <w:keepNext/>
            </w:pPr>
            <w:r w:rsidRPr="00612923">
              <w:t>33%</w:t>
            </w:r>
          </w:p>
        </w:tc>
        <w:tc>
          <w:tcPr>
            <w:tcW w:w="720" w:type="dxa"/>
            <w:shd w:val="clear" w:color="auto" w:fill="auto"/>
            <w:noWrap/>
            <w:vAlign w:val="center"/>
            <w:hideMark/>
          </w:tcPr>
          <w:p w:rsidR="00FD127A" w:rsidRPr="00612923" w:rsidRDefault="00FD127A" w:rsidP="00254844">
            <w:pPr>
              <w:pStyle w:val="TableText"/>
              <w:keepNext/>
            </w:pPr>
            <w:r w:rsidRPr="00612923">
              <w:t>35%</w:t>
            </w:r>
          </w:p>
        </w:tc>
        <w:tc>
          <w:tcPr>
            <w:tcW w:w="720" w:type="dxa"/>
            <w:shd w:val="clear" w:color="auto" w:fill="auto"/>
            <w:noWrap/>
            <w:vAlign w:val="center"/>
            <w:hideMark/>
          </w:tcPr>
          <w:p w:rsidR="00FD127A" w:rsidRPr="00612923" w:rsidRDefault="00FD127A" w:rsidP="00254844">
            <w:pPr>
              <w:pStyle w:val="TableText"/>
              <w:keepNext/>
            </w:pPr>
            <w:r w:rsidRPr="00612923">
              <w:t>15%</w:t>
            </w:r>
          </w:p>
        </w:tc>
        <w:tc>
          <w:tcPr>
            <w:tcW w:w="630" w:type="dxa"/>
            <w:shd w:val="clear" w:color="auto" w:fill="auto"/>
            <w:noWrap/>
            <w:vAlign w:val="center"/>
            <w:hideMark/>
          </w:tcPr>
          <w:p w:rsidR="00FD127A" w:rsidRPr="00612923" w:rsidRDefault="00FD127A" w:rsidP="00254844">
            <w:pPr>
              <w:pStyle w:val="TableText"/>
              <w:keepNext/>
            </w:pPr>
            <w:r w:rsidRPr="00612923">
              <w:t>6%</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254844">
            <w:pPr>
              <w:pStyle w:val="TableText"/>
              <w:keepNext/>
            </w:pPr>
            <w:r w:rsidRPr="00612923">
              <w:t>1-Oct-12</w:t>
            </w:r>
          </w:p>
        </w:tc>
        <w:tc>
          <w:tcPr>
            <w:tcW w:w="810" w:type="dxa"/>
            <w:shd w:val="clear" w:color="auto" w:fill="auto"/>
            <w:noWrap/>
            <w:vAlign w:val="center"/>
            <w:hideMark/>
          </w:tcPr>
          <w:p w:rsidR="00FD127A" w:rsidRPr="00612923" w:rsidRDefault="00FD127A" w:rsidP="00254844">
            <w:pPr>
              <w:pStyle w:val="TableText"/>
              <w:keepNext/>
            </w:pPr>
            <w:r w:rsidRPr="00612923">
              <w:t>14%</w:t>
            </w:r>
          </w:p>
        </w:tc>
        <w:tc>
          <w:tcPr>
            <w:tcW w:w="810" w:type="dxa"/>
            <w:shd w:val="clear" w:color="auto" w:fill="auto"/>
            <w:noWrap/>
            <w:vAlign w:val="center"/>
            <w:hideMark/>
          </w:tcPr>
          <w:p w:rsidR="00FD127A" w:rsidRPr="00612923" w:rsidRDefault="00FD127A" w:rsidP="00254844">
            <w:pPr>
              <w:pStyle w:val="TableText"/>
              <w:keepNext/>
            </w:pPr>
            <w:r w:rsidRPr="00612923">
              <w:t>36%</w:t>
            </w:r>
          </w:p>
        </w:tc>
        <w:tc>
          <w:tcPr>
            <w:tcW w:w="720" w:type="dxa"/>
            <w:shd w:val="clear" w:color="auto" w:fill="auto"/>
            <w:noWrap/>
            <w:vAlign w:val="center"/>
            <w:hideMark/>
          </w:tcPr>
          <w:p w:rsidR="00FD127A" w:rsidRPr="00612923" w:rsidRDefault="00FD127A" w:rsidP="00254844">
            <w:pPr>
              <w:pStyle w:val="TableText"/>
              <w:keepNext/>
            </w:pPr>
            <w:r w:rsidRPr="00612923">
              <w:t>33%</w:t>
            </w:r>
          </w:p>
        </w:tc>
        <w:tc>
          <w:tcPr>
            <w:tcW w:w="720" w:type="dxa"/>
            <w:shd w:val="clear" w:color="auto" w:fill="auto"/>
            <w:noWrap/>
            <w:vAlign w:val="center"/>
            <w:hideMark/>
          </w:tcPr>
          <w:p w:rsidR="00FD127A" w:rsidRPr="00612923" w:rsidRDefault="00FD127A" w:rsidP="00254844">
            <w:pPr>
              <w:pStyle w:val="TableText"/>
              <w:keepNext/>
            </w:pPr>
            <w:r w:rsidRPr="00612923">
              <w:t>13%</w:t>
            </w:r>
          </w:p>
        </w:tc>
        <w:tc>
          <w:tcPr>
            <w:tcW w:w="630" w:type="dxa"/>
            <w:shd w:val="clear" w:color="auto" w:fill="auto"/>
            <w:noWrap/>
            <w:vAlign w:val="center"/>
            <w:hideMark/>
          </w:tcPr>
          <w:p w:rsidR="00FD127A" w:rsidRPr="00612923" w:rsidRDefault="00FD127A" w:rsidP="00254844">
            <w:pPr>
              <w:pStyle w:val="TableText"/>
              <w:keepNext/>
            </w:pPr>
            <w:r w:rsidRPr="00612923">
              <w:t>4%</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254844">
            <w:pPr>
              <w:pStyle w:val="TableText"/>
              <w:keepNext/>
            </w:pPr>
            <w:r w:rsidRPr="00612923">
              <w:t>2-Oct-12</w:t>
            </w:r>
          </w:p>
        </w:tc>
        <w:tc>
          <w:tcPr>
            <w:tcW w:w="810" w:type="dxa"/>
            <w:shd w:val="clear" w:color="auto" w:fill="auto"/>
            <w:noWrap/>
            <w:vAlign w:val="center"/>
            <w:hideMark/>
          </w:tcPr>
          <w:p w:rsidR="00FD127A" w:rsidRPr="00612923" w:rsidRDefault="00FD127A" w:rsidP="00254844">
            <w:pPr>
              <w:pStyle w:val="TableText"/>
              <w:keepNext/>
            </w:pPr>
            <w:r w:rsidRPr="00612923">
              <w:t>13%</w:t>
            </w:r>
          </w:p>
        </w:tc>
        <w:tc>
          <w:tcPr>
            <w:tcW w:w="810" w:type="dxa"/>
            <w:shd w:val="clear" w:color="auto" w:fill="auto"/>
            <w:noWrap/>
            <w:vAlign w:val="center"/>
            <w:hideMark/>
          </w:tcPr>
          <w:p w:rsidR="00FD127A" w:rsidRPr="00612923" w:rsidRDefault="00FD127A" w:rsidP="00254844">
            <w:pPr>
              <w:pStyle w:val="TableText"/>
              <w:keepNext/>
            </w:pPr>
            <w:r w:rsidRPr="00612923">
              <w:t>34%</w:t>
            </w:r>
          </w:p>
        </w:tc>
        <w:tc>
          <w:tcPr>
            <w:tcW w:w="720" w:type="dxa"/>
            <w:shd w:val="clear" w:color="auto" w:fill="auto"/>
            <w:noWrap/>
            <w:vAlign w:val="center"/>
            <w:hideMark/>
          </w:tcPr>
          <w:p w:rsidR="00FD127A" w:rsidRPr="00612923" w:rsidRDefault="00FD127A" w:rsidP="00254844">
            <w:pPr>
              <w:pStyle w:val="TableText"/>
              <w:keepNext/>
            </w:pPr>
            <w:r w:rsidRPr="00612923">
              <w:t>34%</w:t>
            </w:r>
          </w:p>
        </w:tc>
        <w:tc>
          <w:tcPr>
            <w:tcW w:w="720" w:type="dxa"/>
            <w:shd w:val="clear" w:color="auto" w:fill="auto"/>
            <w:noWrap/>
            <w:vAlign w:val="center"/>
            <w:hideMark/>
          </w:tcPr>
          <w:p w:rsidR="00FD127A" w:rsidRPr="00612923" w:rsidRDefault="00FD127A" w:rsidP="00254844">
            <w:pPr>
              <w:pStyle w:val="TableText"/>
              <w:keepNext/>
            </w:pPr>
            <w:r w:rsidRPr="00612923">
              <w:t>14%</w:t>
            </w:r>
          </w:p>
        </w:tc>
        <w:tc>
          <w:tcPr>
            <w:tcW w:w="630" w:type="dxa"/>
            <w:shd w:val="clear" w:color="auto" w:fill="auto"/>
            <w:noWrap/>
            <w:vAlign w:val="center"/>
            <w:hideMark/>
          </w:tcPr>
          <w:p w:rsidR="00FD127A" w:rsidRPr="00612923" w:rsidRDefault="00FD127A" w:rsidP="00254844">
            <w:pPr>
              <w:pStyle w:val="TableText"/>
              <w:keepNext/>
            </w:pPr>
            <w:r w:rsidRPr="00612923">
              <w:t>5%</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254844">
            <w:pPr>
              <w:pStyle w:val="TableText"/>
              <w:keepNext/>
            </w:pPr>
            <w:r w:rsidRPr="00612923">
              <w:t>3-Oct-12</w:t>
            </w:r>
          </w:p>
        </w:tc>
        <w:tc>
          <w:tcPr>
            <w:tcW w:w="3690" w:type="dxa"/>
            <w:gridSpan w:val="5"/>
            <w:shd w:val="clear" w:color="auto" w:fill="auto"/>
            <w:noWrap/>
            <w:vAlign w:val="bottom"/>
            <w:hideMark/>
          </w:tcPr>
          <w:p w:rsidR="00FD127A" w:rsidRPr="00612923" w:rsidRDefault="00FD127A" w:rsidP="00254844">
            <w:pPr>
              <w:pStyle w:val="TableText"/>
              <w:keepNext/>
            </w:pPr>
            <w:r w:rsidRPr="00612923">
              <w:t>notification data not available</w:t>
            </w:r>
          </w:p>
        </w:tc>
      </w:tr>
      <w:tr w:rsidR="00FD127A" w:rsidRPr="00612923" w:rsidTr="003E2E3C">
        <w:trPr>
          <w:trHeight w:val="300"/>
          <w:jc w:val="center"/>
        </w:trPr>
        <w:tc>
          <w:tcPr>
            <w:tcW w:w="1275" w:type="dxa"/>
            <w:shd w:val="clear" w:color="auto" w:fill="auto"/>
            <w:noWrap/>
            <w:vAlign w:val="center"/>
            <w:hideMark/>
          </w:tcPr>
          <w:p w:rsidR="00FD127A" w:rsidRPr="00612923" w:rsidRDefault="00FD127A" w:rsidP="009832E2">
            <w:pPr>
              <w:pStyle w:val="TableText"/>
              <w:rPr>
                <w:b/>
                <w:bCs/>
              </w:rPr>
            </w:pPr>
            <w:r w:rsidRPr="00612923">
              <w:rPr>
                <w:b/>
                <w:bCs/>
              </w:rPr>
              <w:t>Average</w:t>
            </w:r>
          </w:p>
        </w:tc>
        <w:tc>
          <w:tcPr>
            <w:tcW w:w="810" w:type="dxa"/>
            <w:shd w:val="clear" w:color="auto" w:fill="auto"/>
            <w:noWrap/>
            <w:vAlign w:val="center"/>
            <w:hideMark/>
          </w:tcPr>
          <w:p w:rsidR="00FD127A" w:rsidRPr="00612923" w:rsidRDefault="00FD127A" w:rsidP="009832E2">
            <w:pPr>
              <w:pStyle w:val="TableText"/>
              <w:rPr>
                <w:b/>
                <w:bCs/>
              </w:rPr>
            </w:pPr>
            <w:r w:rsidRPr="00612923">
              <w:rPr>
                <w:b/>
                <w:bCs/>
              </w:rPr>
              <w:t>12%</w:t>
            </w:r>
          </w:p>
        </w:tc>
        <w:tc>
          <w:tcPr>
            <w:tcW w:w="810" w:type="dxa"/>
            <w:shd w:val="clear" w:color="auto" w:fill="auto"/>
            <w:noWrap/>
            <w:vAlign w:val="center"/>
            <w:hideMark/>
          </w:tcPr>
          <w:p w:rsidR="00FD127A" w:rsidRPr="00612923" w:rsidRDefault="00FD127A" w:rsidP="009832E2">
            <w:pPr>
              <w:pStyle w:val="TableText"/>
              <w:rPr>
                <w:b/>
                <w:bCs/>
              </w:rPr>
            </w:pPr>
            <w:r w:rsidRPr="00612923">
              <w:rPr>
                <w:b/>
                <w:bCs/>
              </w:rPr>
              <w:t>33%</w:t>
            </w:r>
          </w:p>
        </w:tc>
        <w:tc>
          <w:tcPr>
            <w:tcW w:w="720" w:type="dxa"/>
            <w:shd w:val="clear" w:color="auto" w:fill="auto"/>
            <w:noWrap/>
            <w:vAlign w:val="center"/>
            <w:hideMark/>
          </w:tcPr>
          <w:p w:rsidR="00FD127A" w:rsidRPr="00612923" w:rsidRDefault="00FD127A" w:rsidP="009832E2">
            <w:pPr>
              <w:pStyle w:val="TableText"/>
              <w:rPr>
                <w:b/>
                <w:bCs/>
              </w:rPr>
            </w:pPr>
            <w:r w:rsidRPr="00612923">
              <w:rPr>
                <w:b/>
                <w:bCs/>
              </w:rPr>
              <w:t>35%</w:t>
            </w:r>
          </w:p>
        </w:tc>
        <w:tc>
          <w:tcPr>
            <w:tcW w:w="720" w:type="dxa"/>
            <w:shd w:val="clear" w:color="auto" w:fill="auto"/>
            <w:noWrap/>
            <w:vAlign w:val="center"/>
            <w:hideMark/>
          </w:tcPr>
          <w:p w:rsidR="00FD127A" w:rsidRPr="00612923" w:rsidRDefault="00FD127A" w:rsidP="009832E2">
            <w:pPr>
              <w:pStyle w:val="TableText"/>
              <w:rPr>
                <w:b/>
                <w:bCs/>
              </w:rPr>
            </w:pPr>
            <w:r w:rsidRPr="00612923">
              <w:rPr>
                <w:b/>
                <w:bCs/>
              </w:rPr>
              <w:t>15%</w:t>
            </w:r>
          </w:p>
        </w:tc>
        <w:tc>
          <w:tcPr>
            <w:tcW w:w="630" w:type="dxa"/>
            <w:shd w:val="clear" w:color="auto" w:fill="auto"/>
            <w:noWrap/>
            <w:vAlign w:val="center"/>
            <w:hideMark/>
          </w:tcPr>
          <w:p w:rsidR="00FD127A" w:rsidRPr="00612923" w:rsidRDefault="00FD127A" w:rsidP="009832E2">
            <w:pPr>
              <w:pStyle w:val="TableText"/>
              <w:rPr>
                <w:b/>
                <w:bCs/>
              </w:rPr>
            </w:pPr>
            <w:r w:rsidRPr="00612923">
              <w:rPr>
                <w:b/>
                <w:bCs/>
              </w:rPr>
              <w:t>6%</w:t>
            </w:r>
          </w:p>
        </w:tc>
      </w:tr>
    </w:tbl>
    <w:p w:rsidR="00FD127A" w:rsidRPr="00612923" w:rsidRDefault="00FD127A" w:rsidP="00FD127A">
      <w:pPr>
        <w:pStyle w:val="TableFigureCaption"/>
      </w:pPr>
    </w:p>
    <w:p w:rsidR="00FD127A" w:rsidRPr="00612923" w:rsidRDefault="009832E2" w:rsidP="00FD127A">
      <w:pPr>
        <w:pStyle w:val="TableFigureCaption"/>
      </w:pPr>
      <w:r w:rsidRPr="00612923">
        <w:t>Table 4-</w:t>
      </w:r>
      <w:r w:rsidR="00FD127A" w:rsidRPr="00612923">
        <w:t>7</w:t>
      </w:r>
      <w:r w:rsidR="00D034CA" w:rsidRPr="00612923">
        <w:t>: Percent of Dually-e</w:t>
      </w:r>
      <w:r w:rsidR="00FD127A" w:rsidRPr="00612923">
        <w:t>nrolled Customers Notified for Each Event</w:t>
      </w:r>
    </w:p>
    <w:tbl>
      <w:tblPr>
        <w:tblW w:w="4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8"/>
        <w:gridCol w:w="810"/>
        <w:gridCol w:w="810"/>
        <w:gridCol w:w="720"/>
        <w:gridCol w:w="720"/>
        <w:gridCol w:w="630"/>
      </w:tblGrid>
      <w:tr w:rsidR="00FD127A" w:rsidRPr="00612923" w:rsidTr="003E2E3C">
        <w:trPr>
          <w:trHeight w:val="315"/>
          <w:jc w:val="center"/>
        </w:trPr>
        <w:tc>
          <w:tcPr>
            <w:tcW w:w="1278" w:type="dxa"/>
            <w:vMerge w:val="restart"/>
            <w:tcBorders>
              <w:righ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Date</w:t>
            </w:r>
          </w:p>
        </w:tc>
        <w:tc>
          <w:tcPr>
            <w:tcW w:w="3690" w:type="dxa"/>
            <w:gridSpan w:val="5"/>
            <w:tcBorders>
              <w:left w:val="single" w:sz="4" w:space="0" w:color="FFFFFF" w:themeColor="background1"/>
              <w:bottom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Number of successful notifications</w:t>
            </w:r>
          </w:p>
        </w:tc>
      </w:tr>
      <w:tr w:rsidR="00FD127A" w:rsidRPr="00612923" w:rsidTr="003E2E3C">
        <w:trPr>
          <w:trHeight w:val="300"/>
          <w:jc w:val="center"/>
        </w:trPr>
        <w:tc>
          <w:tcPr>
            <w:tcW w:w="1278" w:type="dxa"/>
            <w:vMerge/>
            <w:tcBorders>
              <w:right w:val="single" w:sz="4" w:space="0" w:color="FFFFFF" w:themeColor="background1"/>
            </w:tcBorders>
            <w:vAlign w:val="center"/>
            <w:hideMark/>
          </w:tcPr>
          <w:p w:rsidR="00FD127A" w:rsidRPr="00612923" w:rsidRDefault="00FD127A" w:rsidP="00254844">
            <w:pPr>
              <w:pStyle w:val="TableHeader"/>
              <w:keepNext/>
              <w:contextualSpacing/>
            </w:pPr>
          </w:p>
        </w:tc>
        <w:tc>
          <w:tcPr>
            <w:tcW w:w="81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None</w:t>
            </w:r>
          </w:p>
        </w:tc>
        <w:tc>
          <w:tcPr>
            <w:tcW w:w="81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1</w:t>
            </w:r>
          </w:p>
        </w:tc>
        <w:tc>
          <w:tcPr>
            <w:tcW w:w="72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2</w:t>
            </w:r>
          </w:p>
        </w:tc>
        <w:tc>
          <w:tcPr>
            <w:tcW w:w="720" w:type="dxa"/>
            <w:tcBorders>
              <w:top w:val="single" w:sz="4" w:space="0" w:color="FFFFFF" w:themeColor="background1"/>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3</w:t>
            </w:r>
          </w:p>
        </w:tc>
        <w:tc>
          <w:tcPr>
            <w:tcW w:w="630" w:type="dxa"/>
            <w:tcBorders>
              <w:top w:val="single" w:sz="4" w:space="0" w:color="FFFFFF" w:themeColor="background1"/>
              <w:left w:val="single" w:sz="4" w:space="0" w:color="FFFFFF" w:themeColor="background1"/>
            </w:tcBorders>
            <w:shd w:val="clear" w:color="000000" w:fill="1F497D"/>
            <w:vAlign w:val="center"/>
            <w:hideMark/>
          </w:tcPr>
          <w:p w:rsidR="00FD127A" w:rsidRPr="00612923" w:rsidRDefault="00FD127A" w:rsidP="00254844">
            <w:pPr>
              <w:pStyle w:val="TableHeader"/>
              <w:keepNext/>
              <w:contextualSpacing/>
            </w:pPr>
            <w:r w:rsidRPr="00612923">
              <w:t>4</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254844">
            <w:pPr>
              <w:pStyle w:val="TableText"/>
              <w:keepNext/>
            </w:pPr>
            <w:r w:rsidRPr="00612923">
              <w:t>9-Jul-12</w:t>
            </w:r>
          </w:p>
        </w:tc>
        <w:tc>
          <w:tcPr>
            <w:tcW w:w="810" w:type="dxa"/>
            <w:shd w:val="clear" w:color="auto" w:fill="auto"/>
            <w:noWrap/>
            <w:vAlign w:val="center"/>
            <w:hideMark/>
          </w:tcPr>
          <w:p w:rsidR="00FD127A" w:rsidRPr="00612923" w:rsidRDefault="00FD127A" w:rsidP="00254844">
            <w:pPr>
              <w:pStyle w:val="TableText"/>
              <w:keepNext/>
            </w:pPr>
            <w:r w:rsidRPr="00612923">
              <w:t>5%</w:t>
            </w:r>
          </w:p>
        </w:tc>
        <w:tc>
          <w:tcPr>
            <w:tcW w:w="810" w:type="dxa"/>
            <w:shd w:val="clear" w:color="auto" w:fill="auto"/>
            <w:noWrap/>
            <w:vAlign w:val="center"/>
            <w:hideMark/>
          </w:tcPr>
          <w:p w:rsidR="00FD127A" w:rsidRPr="00612923" w:rsidRDefault="00FD127A" w:rsidP="00254844">
            <w:pPr>
              <w:pStyle w:val="TableText"/>
              <w:keepNext/>
            </w:pPr>
            <w:r w:rsidRPr="00612923">
              <w:t>25%</w:t>
            </w:r>
          </w:p>
        </w:tc>
        <w:tc>
          <w:tcPr>
            <w:tcW w:w="720" w:type="dxa"/>
            <w:shd w:val="clear" w:color="auto" w:fill="auto"/>
            <w:noWrap/>
            <w:vAlign w:val="center"/>
            <w:hideMark/>
          </w:tcPr>
          <w:p w:rsidR="00FD127A" w:rsidRPr="00612923" w:rsidRDefault="00FD127A" w:rsidP="00254844">
            <w:pPr>
              <w:pStyle w:val="TableText"/>
              <w:keepNext/>
            </w:pPr>
            <w:r w:rsidRPr="00612923">
              <w:t>42%</w:t>
            </w:r>
          </w:p>
        </w:tc>
        <w:tc>
          <w:tcPr>
            <w:tcW w:w="720" w:type="dxa"/>
            <w:shd w:val="clear" w:color="auto" w:fill="auto"/>
            <w:noWrap/>
            <w:vAlign w:val="center"/>
            <w:hideMark/>
          </w:tcPr>
          <w:p w:rsidR="00FD127A" w:rsidRPr="00612923" w:rsidRDefault="00FD127A" w:rsidP="00254844">
            <w:pPr>
              <w:pStyle w:val="TableText"/>
              <w:keepNext/>
            </w:pPr>
            <w:r w:rsidRPr="00612923">
              <w:t>19%</w:t>
            </w:r>
          </w:p>
        </w:tc>
        <w:tc>
          <w:tcPr>
            <w:tcW w:w="630" w:type="dxa"/>
            <w:shd w:val="clear" w:color="auto" w:fill="auto"/>
            <w:noWrap/>
            <w:vAlign w:val="center"/>
            <w:hideMark/>
          </w:tcPr>
          <w:p w:rsidR="00FD127A" w:rsidRPr="00612923" w:rsidRDefault="00FD127A" w:rsidP="00254844">
            <w:pPr>
              <w:pStyle w:val="TableText"/>
              <w:keepNext/>
            </w:pPr>
            <w:r w:rsidRPr="00612923">
              <w:t>9%</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254844">
            <w:pPr>
              <w:pStyle w:val="TableText"/>
              <w:keepNext/>
            </w:pPr>
            <w:r w:rsidRPr="00612923">
              <w:t>10-Jul-12</w:t>
            </w:r>
          </w:p>
        </w:tc>
        <w:tc>
          <w:tcPr>
            <w:tcW w:w="810" w:type="dxa"/>
            <w:shd w:val="clear" w:color="auto" w:fill="auto"/>
            <w:noWrap/>
            <w:vAlign w:val="center"/>
            <w:hideMark/>
          </w:tcPr>
          <w:p w:rsidR="00FD127A" w:rsidRPr="00612923" w:rsidRDefault="00FD127A" w:rsidP="00254844">
            <w:pPr>
              <w:pStyle w:val="TableText"/>
              <w:keepNext/>
            </w:pPr>
            <w:r w:rsidRPr="00612923">
              <w:t>5%</w:t>
            </w:r>
          </w:p>
        </w:tc>
        <w:tc>
          <w:tcPr>
            <w:tcW w:w="810" w:type="dxa"/>
            <w:shd w:val="clear" w:color="auto" w:fill="auto"/>
            <w:noWrap/>
            <w:vAlign w:val="center"/>
            <w:hideMark/>
          </w:tcPr>
          <w:p w:rsidR="00FD127A" w:rsidRPr="00612923" w:rsidRDefault="00FD127A" w:rsidP="00254844">
            <w:pPr>
              <w:pStyle w:val="TableText"/>
              <w:keepNext/>
            </w:pPr>
            <w:r w:rsidRPr="00612923">
              <w:t>26%</w:t>
            </w:r>
          </w:p>
        </w:tc>
        <w:tc>
          <w:tcPr>
            <w:tcW w:w="720" w:type="dxa"/>
            <w:shd w:val="clear" w:color="auto" w:fill="auto"/>
            <w:noWrap/>
            <w:vAlign w:val="center"/>
            <w:hideMark/>
          </w:tcPr>
          <w:p w:rsidR="00FD127A" w:rsidRPr="00612923" w:rsidRDefault="00FD127A" w:rsidP="00254844">
            <w:pPr>
              <w:pStyle w:val="TableText"/>
              <w:keepNext/>
            </w:pPr>
            <w:r w:rsidRPr="00612923">
              <w:t>41%</w:t>
            </w:r>
          </w:p>
        </w:tc>
        <w:tc>
          <w:tcPr>
            <w:tcW w:w="720" w:type="dxa"/>
            <w:shd w:val="clear" w:color="auto" w:fill="auto"/>
            <w:noWrap/>
            <w:vAlign w:val="center"/>
            <w:hideMark/>
          </w:tcPr>
          <w:p w:rsidR="00FD127A" w:rsidRPr="00612923" w:rsidRDefault="00FD127A" w:rsidP="00254844">
            <w:pPr>
              <w:pStyle w:val="TableText"/>
              <w:keepNext/>
            </w:pPr>
            <w:r w:rsidRPr="00612923">
              <w:t>19%</w:t>
            </w:r>
          </w:p>
        </w:tc>
        <w:tc>
          <w:tcPr>
            <w:tcW w:w="630" w:type="dxa"/>
            <w:shd w:val="clear" w:color="auto" w:fill="auto"/>
            <w:noWrap/>
            <w:vAlign w:val="center"/>
            <w:hideMark/>
          </w:tcPr>
          <w:p w:rsidR="00FD127A" w:rsidRPr="00612923" w:rsidRDefault="00FD127A" w:rsidP="00254844">
            <w:pPr>
              <w:pStyle w:val="TableText"/>
              <w:keepNext/>
            </w:pPr>
            <w:r w:rsidRPr="00612923">
              <w:t>9%</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254844">
            <w:pPr>
              <w:pStyle w:val="TableText"/>
              <w:keepNext/>
            </w:pPr>
            <w:r w:rsidRPr="00612923">
              <w:t>11-Jul-12</w:t>
            </w:r>
          </w:p>
        </w:tc>
        <w:tc>
          <w:tcPr>
            <w:tcW w:w="810" w:type="dxa"/>
            <w:shd w:val="clear" w:color="auto" w:fill="auto"/>
            <w:noWrap/>
            <w:vAlign w:val="center"/>
            <w:hideMark/>
          </w:tcPr>
          <w:p w:rsidR="00FD127A" w:rsidRPr="00612923" w:rsidRDefault="00FD127A" w:rsidP="00254844">
            <w:pPr>
              <w:pStyle w:val="TableText"/>
              <w:keepNext/>
            </w:pPr>
            <w:r w:rsidRPr="00612923">
              <w:t>5%</w:t>
            </w:r>
          </w:p>
        </w:tc>
        <w:tc>
          <w:tcPr>
            <w:tcW w:w="810" w:type="dxa"/>
            <w:shd w:val="clear" w:color="auto" w:fill="auto"/>
            <w:noWrap/>
            <w:vAlign w:val="center"/>
            <w:hideMark/>
          </w:tcPr>
          <w:p w:rsidR="00FD127A" w:rsidRPr="00612923" w:rsidRDefault="00FD127A" w:rsidP="00254844">
            <w:pPr>
              <w:pStyle w:val="TableText"/>
              <w:keepNext/>
            </w:pPr>
            <w:r w:rsidRPr="00612923">
              <w:t>25%</w:t>
            </w:r>
          </w:p>
        </w:tc>
        <w:tc>
          <w:tcPr>
            <w:tcW w:w="720" w:type="dxa"/>
            <w:shd w:val="clear" w:color="auto" w:fill="auto"/>
            <w:noWrap/>
            <w:vAlign w:val="center"/>
            <w:hideMark/>
          </w:tcPr>
          <w:p w:rsidR="00FD127A" w:rsidRPr="00612923" w:rsidRDefault="00FD127A" w:rsidP="00254844">
            <w:pPr>
              <w:pStyle w:val="TableText"/>
              <w:keepNext/>
            </w:pPr>
            <w:r w:rsidRPr="00612923">
              <w:t>41%</w:t>
            </w:r>
          </w:p>
        </w:tc>
        <w:tc>
          <w:tcPr>
            <w:tcW w:w="720" w:type="dxa"/>
            <w:shd w:val="clear" w:color="auto" w:fill="auto"/>
            <w:noWrap/>
            <w:vAlign w:val="center"/>
            <w:hideMark/>
          </w:tcPr>
          <w:p w:rsidR="00FD127A" w:rsidRPr="00612923" w:rsidRDefault="00FD127A" w:rsidP="00254844">
            <w:pPr>
              <w:pStyle w:val="TableText"/>
              <w:keepNext/>
            </w:pPr>
            <w:r w:rsidRPr="00612923">
              <w:t>19%</w:t>
            </w:r>
          </w:p>
        </w:tc>
        <w:tc>
          <w:tcPr>
            <w:tcW w:w="630" w:type="dxa"/>
            <w:shd w:val="clear" w:color="auto" w:fill="auto"/>
            <w:noWrap/>
            <w:vAlign w:val="center"/>
            <w:hideMark/>
          </w:tcPr>
          <w:p w:rsidR="00FD127A" w:rsidRPr="00612923" w:rsidRDefault="00FD127A" w:rsidP="00254844">
            <w:pPr>
              <w:pStyle w:val="TableText"/>
              <w:keepNext/>
            </w:pPr>
            <w:r w:rsidRPr="00612923">
              <w:t>8%</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254844">
            <w:pPr>
              <w:pStyle w:val="TableText"/>
              <w:keepNext/>
            </w:pPr>
            <w:r w:rsidRPr="00612923">
              <w:t>23-Jul-12</w:t>
            </w:r>
          </w:p>
        </w:tc>
        <w:tc>
          <w:tcPr>
            <w:tcW w:w="810" w:type="dxa"/>
            <w:shd w:val="clear" w:color="auto" w:fill="auto"/>
            <w:noWrap/>
            <w:vAlign w:val="center"/>
            <w:hideMark/>
          </w:tcPr>
          <w:p w:rsidR="00FD127A" w:rsidRPr="00612923" w:rsidRDefault="00FD127A" w:rsidP="00254844">
            <w:pPr>
              <w:pStyle w:val="TableText"/>
              <w:keepNext/>
            </w:pPr>
            <w:r w:rsidRPr="00612923">
              <w:t>5%</w:t>
            </w:r>
          </w:p>
        </w:tc>
        <w:tc>
          <w:tcPr>
            <w:tcW w:w="810" w:type="dxa"/>
            <w:shd w:val="clear" w:color="auto" w:fill="auto"/>
            <w:noWrap/>
            <w:vAlign w:val="center"/>
            <w:hideMark/>
          </w:tcPr>
          <w:p w:rsidR="00FD127A" w:rsidRPr="00612923" w:rsidRDefault="00FD127A" w:rsidP="00254844">
            <w:pPr>
              <w:pStyle w:val="TableText"/>
              <w:keepNext/>
            </w:pPr>
            <w:r w:rsidRPr="00612923">
              <w:t>25%</w:t>
            </w:r>
          </w:p>
        </w:tc>
        <w:tc>
          <w:tcPr>
            <w:tcW w:w="720" w:type="dxa"/>
            <w:shd w:val="clear" w:color="auto" w:fill="auto"/>
            <w:noWrap/>
            <w:vAlign w:val="center"/>
            <w:hideMark/>
          </w:tcPr>
          <w:p w:rsidR="00FD127A" w:rsidRPr="00612923" w:rsidRDefault="00FD127A" w:rsidP="00254844">
            <w:pPr>
              <w:pStyle w:val="TableText"/>
              <w:keepNext/>
            </w:pPr>
            <w:r w:rsidRPr="00612923">
              <w:t>42%</w:t>
            </w:r>
          </w:p>
        </w:tc>
        <w:tc>
          <w:tcPr>
            <w:tcW w:w="720" w:type="dxa"/>
            <w:shd w:val="clear" w:color="auto" w:fill="auto"/>
            <w:noWrap/>
            <w:vAlign w:val="center"/>
            <w:hideMark/>
          </w:tcPr>
          <w:p w:rsidR="00FD127A" w:rsidRPr="00612923" w:rsidRDefault="00FD127A" w:rsidP="00254844">
            <w:pPr>
              <w:pStyle w:val="TableText"/>
              <w:keepNext/>
            </w:pPr>
            <w:r w:rsidRPr="00612923">
              <w:t>19%</w:t>
            </w:r>
          </w:p>
        </w:tc>
        <w:tc>
          <w:tcPr>
            <w:tcW w:w="630" w:type="dxa"/>
            <w:shd w:val="clear" w:color="auto" w:fill="auto"/>
            <w:noWrap/>
            <w:vAlign w:val="center"/>
            <w:hideMark/>
          </w:tcPr>
          <w:p w:rsidR="00FD127A" w:rsidRPr="00612923" w:rsidRDefault="00FD127A" w:rsidP="00254844">
            <w:pPr>
              <w:pStyle w:val="TableText"/>
              <w:keepNext/>
            </w:pPr>
            <w:r w:rsidRPr="00612923">
              <w:t>9%</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254844">
            <w:pPr>
              <w:pStyle w:val="TableText"/>
              <w:keepNext/>
            </w:pPr>
            <w:r w:rsidRPr="00612923">
              <w:t>4-Sep-12</w:t>
            </w:r>
          </w:p>
        </w:tc>
        <w:tc>
          <w:tcPr>
            <w:tcW w:w="810" w:type="dxa"/>
            <w:shd w:val="clear" w:color="auto" w:fill="auto"/>
            <w:noWrap/>
            <w:vAlign w:val="center"/>
            <w:hideMark/>
          </w:tcPr>
          <w:p w:rsidR="00FD127A" w:rsidRPr="00612923" w:rsidRDefault="00FD127A" w:rsidP="00254844">
            <w:pPr>
              <w:pStyle w:val="TableText"/>
              <w:keepNext/>
            </w:pPr>
            <w:r w:rsidRPr="00612923">
              <w:t>6%</w:t>
            </w:r>
          </w:p>
        </w:tc>
        <w:tc>
          <w:tcPr>
            <w:tcW w:w="810" w:type="dxa"/>
            <w:shd w:val="clear" w:color="auto" w:fill="auto"/>
            <w:noWrap/>
            <w:vAlign w:val="center"/>
            <w:hideMark/>
          </w:tcPr>
          <w:p w:rsidR="00FD127A" w:rsidRPr="00612923" w:rsidRDefault="00FD127A" w:rsidP="00254844">
            <w:pPr>
              <w:pStyle w:val="TableText"/>
              <w:keepNext/>
            </w:pPr>
            <w:r w:rsidRPr="00612923">
              <w:t>29%</w:t>
            </w:r>
          </w:p>
        </w:tc>
        <w:tc>
          <w:tcPr>
            <w:tcW w:w="720" w:type="dxa"/>
            <w:shd w:val="clear" w:color="auto" w:fill="auto"/>
            <w:noWrap/>
            <w:vAlign w:val="center"/>
            <w:hideMark/>
          </w:tcPr>
          <w:p w:rsidR="00FD127A" w:rsidRPr="00612923" w:rsidRDefault="00FD127A" w:rsidP="00254844">
            <w:pPr>
              <w:pStyle w:val="TableText"/>
              <w:keepNext/>
            </w:pPr>
            <w:r w:rsidRPr="00612923">
              <w:t>41%</w:t>
            </w:r>
          </w:p>
        </w:tc>
        <w:tc>
          <w:tcPr>
            <w:tcW w:w="720" w:type="dxa"/>
            <w:shd w:val="clear" w:color="auto" w:fill="auto"/>
            <w:noWrap/>
            <w:vAlign w:val="center"/>
            <w:hideMark/>
          </w:tcPr>
          <w:p w:rsidR="00FD127A" w:rsidRPr="00612923" w:rsidRDefault="00FD127A" w:rsidP="00254844">
            <w:pPr>
              <w:pStyle w:val="TableText"/>
              <w:keepNext/>
            </w:pPr>
            <w:r w:rsidRPr="00612923">
              <w:t>18%</w:t>
            </w:r>
          </w:p>
        </w:tc>
        <w:tc>
          <w:tcPr>
            <w:tcW w:w="630" w:type="dxa"/>
            <w:shd w:val="clear" w:color="auto" w:fill="auto"/>
            <w:noWrap/>
            <w:vAlign w:val="center"/>
            <w:hideMark/>
          </w:tcPr>
          <w:p w:rsidR="00FD127A" w:rsidRPr="00612923" w:rsidRDefault="00FD127A" w:rsidP="00254844">
            <w:pPr>
              <w:pStyle w:val="TableText"/>
              <w:keepNext/>
            </w:pPr>
            <w:r w:rsidRPr="00612923">
              <w:t>6%</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254844">
            <w:pPr>
              <w:pStyle w:val="TableText"/>
              <w:keepNext/>
            </w:pPr>
            <w:r w:rsidRPr="00612923">
              <w:t>13-Sep-12</w:t>
            </w:r>
          </w:p>
        </w:tc>
        <w:tc>
          <w:tcPr>
            <w:tcW w:w="810" w:type="dxa"/>
            <w:shd w:val="clear" w:color="auto" w:fill="auto"/>
            <w:noWrap/>
            <w:vAlign w:val="center"/>
            <w:hideMark/>
          </w:tcPr>
          <w:p w:rsidR="00FD127A" w:rsidRPr="00612923" w:rsidRDefault="00FD127A" w:rsidP="00254844">
            <w:pPr>
              <w:pStyle w:val="TableText"/>
              <w:keepNext/>
            </w:pPr>
            <w:r w:rsidRPr="00612923">
              <w:t>6%</w:t>
            </w:r>
          </w:p>
        </w:tc>
        <w:tc>
          <w:tcPr>
            <w:tcW w:w="810" w:type="dxa"/>
            <w:shd w:val="clear" w:color="auto" w:fill="auto"/>
            <w:noWrap/>
            <w:vAlign w:val="center"/>
            <w:hideMark/>
          </w:tcPr>
          <w:p w:rsidR="00FD127A" w:rsidRPr="00612923" w:rsidRDefault="00FD127A" w:rsidP="00254844">
            <w:pPr>
              <w:pStyle w:val="TableText"/>
              <w:keepNext/>
            </w:pPr>
            <w:r w:rsidRPr="00612923">
              <w:t>29%</w:t>
            </w:r>
          </w:p>
        </w:tc>
        <w:tc>
          <w:tcPr>
            <w:tcW w:w="720" w:type="dxa"/>
            <w:shd w:val="clear" w:color="auto" w:fill="auto"/>
            <w:noWrap/>
            <w:vAlign w:val="center"/>
            <w:hideMark/>
          </w:tcPr>
          <w:p w:rsidR="00FD127A" w:rsidRPr="00612923" w:rsidRDefault="00FD127A" w:rsidP="00254844">
            <w:pPr>
              <w:pStyle w:val="TableText"/>
              <w:keepNext/>
            </w:pPr>
            <w:r w:rsidRPr="00612923">
              <w:t>42%</w:t>
            </w:r>
          </w:p>
        </w:tc>
        <w:tc>
          <w:tcPr>
            <w:tcW w:w="720" w:type="dxa"/>
            <w:shd w:val="clear" w:color="auto" w:fill="auto"/>
            <w:noWrap/>
            <w:vAlign w:val="center"/>
            <w:hideMark/>
          </w:tcPr>
          <w:p w:rsidR="00FD127A" w:rsidRPr="00612923" w:rsidRDefault="00FD127A" w:rsidP="00254844">
            <w:pPr>
              <w:pStyle w:val="TableText"/>
              <w:keepNext/>
            </w:pPr>
            <w:r w:rsidRPr="00612923">
              <w:t>17%</w:t>
            </w:r>
          </w:p>
        </w:tc>
        <w:tc>
          <w:tcPr>
            <w:tcW w:w="630" w:type="dxa"/>
            <w:shd w:val="clear" w:color="auto" w:fill="auto"/>
            <w:noWrap/>
            <w:vAlign w:val="center"/>
            <w:hideMark/>
          </w:tcPr>
          <w:p w:rsidR="00FD127A" w:rsidRPr="00612923" w:rsidRDefault="00FD127A" w:rsidP="00254844">
            <w:pPr>
              <w:pStyle w:val="TableText"/>
              <w:keepNext/>
            </w:pPr>
            <w:r w:rsidRPr="00612923">
              <w:t>6%</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254844">
            <w:pPr>
              <w:pStyle w:val="TableText"/>
              <w:keepNext/>
            </w:pPr>
            <w:r w:rsidRPr="00612923">
              <w:t>14-Sep-12</w:t>
            </w:r>
          </w:p>
        </w:tc>
        <w:tc>
          <w:tcPr>
            <w:tcW w:w="810" w:type="dxa"/>
            <w:shd w:val="clear" w:color="auto" w:fill="auto"/>
            <w:noWrap/>
            <w:vAlign w:val="center"/>
            <w:hideMark/>
          </w:tcPr>
          <w:p w:rsidR="00FD127A" w:rsidRPr="00612923" w:rsidRDefault="00FD127A" w:rsidP="00254844">
            <w:pPr>
              <w:pStyle w:val="TableText"/>
              <w:keepNext/>
            </w:pPr>
            <w:r w:rsidRPr="00612923">
              <w:t>6%</w:t>
            </w:r>
          </w:p>
        </w:tc>
        <w:tc>
          <w:tcPr>
            <w:tcW w:w="810" w:type="dxa"/>
            <w:shd w:val="clear" w:color="auto" w:fill="auto"/>
            <w:noWrap/>
            <w:vAlign w:val="center"/>
            <w:hideMark/>
          </w:tcPr>
          <w:p w:rsidR="00FD127A" w:rsidRPr="00612923" w:rsidRDefault="00FD127A" w:rsidP="00254844">
            <w:pPr>
              <w:pStyle w:val="TableText"/>
              <w:keepNext/>
            </w:pPr>
            <w:r w:rsidRPr="00612923">
              <w:t>30%</w:t>
            </w:r>
          </w:p>
        </w:tc>
        <w:tc>
          <w:tcPr>
            <w:tcW w:w="720" w:type="dxa"/>
            <w:shd w:val="clear" w:color="auto" w:fill="auto"/>
            <w:noWrap/>
            <w:vAlign w:val="center"/>
            <w:hideMark/>
          </w:tcPr>
          <w:p w:rsidR="00FD127A" w:rsidRPr="00612923" w:rsidRDefault="00FD127A" w:rsidP="00254844">
            <w:pPr>
              <w:pStyle w:val="TableText"/>
              <w:keepNext/>
            </w:pPr>
            <w:r w:rsidRPr="00612923">
              <w:t>41%</w:t>
            </w:r>
          </w:p>
        </w:tc>
        <w:tc>
          <w:tcPr>
            <w:tcW w:w="720" w:type="dxa"/>
            <w:shd w:val="clear" w:color="auto" w:fill="auto"/>
            <w:noWrap/>
            <w:vAlign w:val="center"/>
            <w:hideMark/>
          </w:tcPr>
          <w:p w:rsidR="00FD127A" w:rsidRPr="00612923" w:rsidRDefault="00FD127A" w:rsidP="00254844">
            <w:pPr>
              <w:pStyle w:val="TableText"/>
              <w:keepNext/>
            </w:pPr>
            <w:r w:rsidRPr="00612923">
              <w:t>17%</w:t>
            </w:r>
          </w:p>
        </w:tc>
        <w:tc>
          <w:tcPr>
            <w:tcW w:w="630" w:type="dxa"/>
            <w:shd w:val="clear" w:color="auto" w:fill="auto"/>
            <w:noWrap/>
            <w:vAlign w:val="center"/>
            <w:hideMark/>
          </w:tcPr>
          <w:p w:rsidR="00FD127A" w:rsidRPr="00612923" w:rsidRDefault="00FD127A" w:rsidP="00254844">
            <w:pPr>
              <w:pStyle w:val="TableText"/>
              <w:keepNext/>
            </w:pPr>
            <w:r w:rsidRPr="00612923">
              <w:t>6%</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254844">
            <w:pPr>
              <w:pStyle w:val="TableText"/>
              <w:keepNext/>
            </w:pPr>
            <w:r w:rsidRPr="00612923">
              <w:t>1-Oct-12</w:t>
            </w:r>
          </w:p>
        </w:tc>
        <w:tc>
          <w:tcPr>
            <w:tcW w:w="810" w:type="dxa"/>
            <w:shd w:val="clear" w:color="auto" w:fill="auto"/>
            <w:noWrap/>
            <w:vAlign w:val="center"/>
            <w:hideMark/>
          </w:tcPr>
          <w:p w:rsidR="00FD127A" w:rsidRPr="00612923" w:rsidRDefault="00FD127A" w:rsidP="00254844">
            <w:pPr>
              <w:pStyle w:val="TableText"/>
              <w:keepNext/>
            </w:pPr>
            <w:r w:rsidRPr="00612923">
              <w:t>9%</w:t>
            </w:r>
          </w:p>
        </w:tc>
        <w:tc>
          <w:tcPr>
            <w:tcW w:w="810" w:type="dxa"/>
            <w:shd w:val="clear" w:color="auto" w:fill="auto"/>
            <w:noWrap/>
            <w:vAlign w:val="center"/>
            <w:hideMark/>
          </w:tcPr>
          <w:p w:rsidR="00FD127A" w:rsidRPr="00612923" w:rsidRDefault="00FD127A" w:rsidP="00254844">
            <w:pPr>
              <w:pStyle w:val="TableText"/>
              <w:keepNext/>
            </w:pPr>
            <w:r w:rsidRPr="00612923">
              <w:t>33%</w:t>
            </w:r>
          </w:p>
        </w:tc>
        <w:tc>
          <w:tcPr>
            <w:tcW w:w="720" w:type="dxa"/>
            <w:shd w:val="clear" w:color="auto" w:fill="auto"/>
            <w:noWrap/>
            <w:vAlign w:val="center"/>
            <w:hideMark/>
          </w:tcPr>
          <w:p w:rsidR="00FD127A" w:rsidRPr="00612923" w:rsidRDefault="00FD127A" w:rsidP="00254844">
            <w:pPr>
              <w:pStyle w:val="TableText"/>
              <w:keepNext/>
            </w:pPr>
            <w:r w:rsidRPr="00612923">
              <w:t>39%</w:t>
            </w:r>
          </w:p>
        </w:tc>
        <w:tc>
          <w:tcPr>
            <w:tcW w:w="720" w:type="dxa"/>
            <w:shd w:val="clear" w:color="auto" w:fill="auto"/>
            <w:noWrap/>
            <w:vAlign w:val="center"/>
            <w:hideMark/>
          </w:tcPr>
          <w:p w:rsidR="00FD127A" w:rsidRPr="00612923" w:rsidRDefault="00FD127A" w:rsidP="00254844">
            <w:pPr>
              <w:pStyle w:val="TableText"/>
              <w:keepNext/>
            </w:pPr>
            <w:r w:rsidRPr="00612923">
              <w:t>15%</w:t>
            </w:r>
          </w:p>
        </w:tc>
        <w:tc>
          <w:tcPr>
            <w:tcW w:w="630" w:type="dxa"/>
            <w:shd w:val="clear" w:color="auto" w:fill="auto"/>
            <w:noWrap/>
            <w:vAlign w:val="center"/>
            <w:hideMark/>
          </w:tcPr>
          <w:p w:rsidR="00FD127A" w:rsidRPr="00612923" w:rsidRDefault="00FD127A" w:rsidP="00254844">
            <w:pPr>
              <w:pStyle w:val="TableText"/>
              <w:keepNext/>
            </w:pPr>
            <w:r w:rsidRPr="00612923">
              <w:t>4%</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254844">
            <w:pPr>
              <w:pStyle w:val="TableText"/>
              <w:keepNext/>
            </w:pPr>
            <w:r w:rsidRPr="00612923">
              <w:t>2-Oct-12</w:t>
            </w:r>
          </w:p>
        </w:tc>
        <w:tc>
          <w:tcPr>
            <w:tcW w:w="810" w:type="dxa"/>
            <w:shd w:val="clear" w:color="auto" w:fill="auto"/>
            <w:noWrap/>
            <w:vAlign w:val="center"/>
            <w:hideMark/>
          </w:tcPr>
          <w:p w:rsidR="00FD127A" w:rsidRPr="00612923" w:rsidRDefault="00FD127A" w:rsidP="00254844">
            <w:pPr>
              <w:pStyle w:val="TableText"/>
              <w:keepNext/>
            </w:pPr>
            <w:r w:rsidRPr="00612923">
              <w:t>8%</w:t>
            </w:r>
          </w:p>
        </w:tc>
        <w:tc>
          <w:tcPr>
            <w:tcW w:w="810" w:type="dxa"/>
            <w:shd w:val="clear" w:color="auto" w:fill="auto"/>
            <w:noWrap/>
            <w:vAlign w:val="center"/>
            <w:hideMark/>
          </w:tcPr>
          <w:p w:rsidR="00FD127A" w:rsidRPr="00612923" w:rsidRDefault="00FD127A" w:rsidP="00254844">
            <w:pPr>
              <w:pStyle w:val="TableText"/>
              <w:keepNext/>
            </w:pPr>
            <w:r w:rsidRPr="00612923">
              <w:t>32%</w:t>
            </w:r>
          </w:p>
        </w:tc>
        <w:tc>
          <w:tcPr>
            <w:tcW w:w="720" w:type="dxa"/>
            <w:shd w:val="clear" w:color="auto" w:fill="auto"/>
            <w:noWrap/>
            <w:vAlign w:val="center"/>
            <w:hideMark/>
          </w:tcPr>
          <w:p w:rsidR="00FD127A" w:rsidRPr="00612923" w:rsidRDefault="00FD127A" w:rsidP="00254844">
            <w:pPr>
              <w:pStyle w:val="TableText"/>
              <w:keepNext/>
            </w:pPr>
            <w:r w:rsidRPr="00612923">
              <w:t>39%</w:t>
            </w:r>
          </w:p>
        </w:tc>
        <w:tc>
          <w:tcPr>
            <w:tcW w:w="720" w:type="dxa"/>
            <w:shd w:val="clear" w:color="auto" w:fill="auto"/>
            <w:noWrap/>
            <w:vAlign w:val="center"/>
            <w:hideMark/>
          </w:tcPr>
          <w:p w:rsidR="00FD127A" w:rsidRPr="00612923" w:rsidRDefault="00FD127A" w:rsidP="00254844">
            <w:pPr>
              <w:pStyle w:val="TableText"/>
              <w:keepNext/>
            </w:pPr>
            <w:r w:rsidRPr="00612923">
              <w:t>16%</w:t>
            </w:r>
          </w:p>
        </w:tc>
        <w:tc>
          <w:tcPr>
            <w:tcW w:w="630" w:type="dxa"/>
            <w:shd w:val="clear" w:color="auto" w:fill="auto"/>
            <w:noWrap/>
            <w:vAlign w:val="center"/>
            <w:hideMark/>
          </w:tcPr>
          <w:p w:rsidR="00FD127A" w:rsidRPr="00612923" w:rsidRDefault="00FD127A" w:rsidP="00254844">
            <w:pPr>
              <w:pStyle w:val="TableText"/>
              <w:keepNext/>
            </w:pPr>
            <w:r w:rsidRPr="00612923">
              <w:t>5%</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254844">
            <w:pPr>
              <w:pStyle w:val="TableText"/>
              <w:keepNext/>
            </w:pPr>
            <w:r w:rsidRPr="00612923">
              <w:t>3-Oct-12</w:t>
            </w:r>
          </w:p>
        </w:tc>
        <w:tc>
          <w:tcPr>
            <w:tcW w:w="3690" w:type="dxa"/>
            <w:gridSpan w:val="5"/>
            <w:shd w:val="clear" w:color="auto" w:fill="auto"/>
            <w:noWrap/>
            <w:vAlign w:val="center"/>
            <w:hideMark/>
          </w:tcPr>
          <w:p w:rsidR="00FD127A" w:rsidRPr="00612923" w:rsidRDefault="00FD127A" w:rsidP="00254844">
            <w:pPr>
              <w:pStyle w:val="TableText"/>
              <w:keepNext/>
            </w:pPr>
            <w:r w:rsidRPr="00612923">
              <w:t>no notification data available</w:t>
            </w:r>
          </w:p>
        </w:tc>
      </w:tr>
      <w:tr w:rsidR="00FD127A" w:rsidRPr="00612923" w:rsidTr="003E2E3C">
        <w:trPr>
          <w:trHeight w:val="300"/>
          <w:jc w:val="center"/>
        </w:trPr>
        <w:tc>
          <w:tcPr>
            <w:tcW w:w="1278" w:type="dxa"/>
            <w:shd w:val="clear" w:color="auto" w:fill="auto"/>
            <w:noWrap/>
            <w:vAlign w:val="center"/>
            <w:hideMark/>
          </w:tcPr>
          <w:p w:rsidR="00FD127A" w:rsidRPr="00612923" w:rsidRDefault="00FD127A" w:rsidP="009832E2">
            <w:pPr>
              <w:pStyle w:val="TableText"/>
              <w:rPr>
                <w:b/>
                <w:bCs/>
              </w:rPr>
            </w:pPr>
            <w:r w:rsidRPr="00612923">
              <w:rPr>
                <w:b/>
                <w:bCs/>
              </w:rPr>
              <w:t>Average</w:t>
            </w:r>
          </w:p>
        </w:tc>
        <w:tc>
          <w:tcPr>
            <w:tcW w:w="810" w:type="dxa"/>
            <w:shd w:val="clear" w:color="auto" w:fill="auto"/>
            <w:noWrap/>
            <w:vAlign w:val="center"/>
            <w:hideMark/>
          </w:tcPr>
          <w:p w:rsidR="00FD127A" w:rsidRPr="00612923" w:rsidRDefault="00FD127A" w:rsidP="009832E2">
            <w:pPr>
              <w:pStyle w:val="TableText"/>
            </w:pPr>
            <w:r w:rsidRPr="00612923">
              <w:t>6%</w:t>
            </w:r>
          </w:p>
        </w:tc>
        <w:tc>
          <w:tcPr>
            <w:tcW w:w="810" w:type="dxa"/>
            <w:shd w:val="clear" w:color="auto" w:fill="auto"/>
            <w:noWrap/>
            <w:vAlign w:val="center"/>
            <w:hideMark/>
          </w:tcPr>
          <w:p w:rsidR="00FD127A" w:rsidRPr="00612923" w:rsidRDefault="00FD127A" w:rsidP="009832E2">
            <w:pPr>
              <w:pStyle w:val="TableText"/>
            </w:pPr>
            <w:r w:rsidRPr="00612923">
              <w:t>29%</w:t>
            </w:r>
          </w:p>
        </w:tc>
        <w:tc>
          <w:tcPr>
            <w:tcW w:w="720" w:type="dxa"/>
            <w:shd w:val="clear" w:color="auto" w:fill="auto"/>
            <w:noWrap/>
            <w:vAlign w:val="center"/>
            <w:hideMark/>
          </w:tcPr>
          <w:p w:rsidR="00FD127A" w:rsidRPr="00612923" w:rsidRDefault="00FD127A" w:rsidP="009832E2">
            <w:pPr>
              <w:pStyle w:val="TableText"/>
            </w:pPr>
            <w:r w:rsidRPr="00612923">
              <w:t>41%</w:t>
            </w:r>
          </w:p>
        </w:tc>
        <w:tc>
          <w:tcPr>
            <w:tcW w:w="720" w:type="dxa"/>
            <w:shd w:val="clear" w:color="auto" w:fill="auto"/>
            <w:noWrap/>
            <w:vAlign w:val="center"/>
            <w:hideMark/>
          </w:tcPr>
          <w:p w:rsidR="00FD127A" w:rsidRPr="00612923" w:rsidRDefault="00FD127A" w:rsidP="009832E2">
            <w:pPr>
              <w:pStyle w:val="TableText"/>
            </w:pPr>
            <w:r w:rsidRPr="00612923">
              <w:t>17%</w:t>
            </w:r>
          </w:p>
        </w:tc>
        <w:tc>
          <w:tcPr>
            <w:tcW w:w="630" w:type="dxa"/>
            <w:shd w:val="clear" w:color="auto" w:fill="auto"/>
            <w:noWrap/>
            <w:vAlign w:val="center"/>
            <w:hideMark/>
          </w:tcPr>
          <w:p w:rsidR="00FD127A" w:rsidRPr="00612923" w:rsidRDefault="00FD127A" w:rsidP="009832E2">
            <w:pPr>
              <w:pStyle w:val="TableText"/>
            </w:pPr>
            <w:r w:rsidRPr="00612923">
              <w:t>7%</w:t>
            </w:r>
          </w:p>
        </w:tc>
      </w:tr>
    </w:tbl>
    <w:p w:rsidR="00FD127A" w:rsidRPr="00612923" w:rsidRDefault="00FD127A" w:rsidP="00FD127A">
      <w:pPr>
        <w:pStyle w:val="BodyParaAfterTableFigure"/>
      </w:pPr>
      <w:r w:rsidRPr="00612923">
        <w:lastRenderedPageBreak/>
        <w:t xml:space="preserve">Table 4-8 shows the load impacts for successfully notified customers and compares them with the average load impacts for customers who were not notified.  These estimates are based on individual customer regressions and differ from the primary ex post estimates (for more discussion of this issue see </w:t>
      </w:r>
      <w:r w:rsidR="003E2E3C" w:rsidRPr="00612923">
        <w:t>S</w:t>
      </w:r>
      <w:r w:rsidRPr="00612923">
        <w:t xml:space="preserve">ection 3).  The number of customers shown in the table is number included in this estimation exercise—the number that experienced all 10 SmartRate events.  As shown in the table, the average load reduction across all 10 events increases from </w:t>
      </w:r>
      <w:r w:rsidR="00D141F9" w:rsidRPr="00612923">
        <w:t>1</w:t>
      </w:r>
      <w:r w:rsidR="00D141F9">
        <w:t>3</w:t>
      </w:r>
      <w:r w:rsidRPr="00612923">
        <w:t xml:space="preserve">% to </w:t>
      </w:r>
      <w:r w:rsidR="00D141F9" w:rsidRPr="00612923">
        <w:t>1</w:t>
      </w:r>
      <w:r w:rsidR="00D141F9">
        <w:t>5</w:t>
      </w:r>
      <w:r w:rsidRPr="00612923">
        <w:t>% when comparing impacts for the entire SmartRate-only population to impacts for SmartRate-only customers who were notified. The average load impact rose from 0.22 kW to 0.25 kW and 0.52 to 0.55 kW for SmartRate-only and dually-enrolled customers, respectively.  The differences are small because the non-notified group is a small</w:t>
      </w:r>
      <w:r w:rsidR="003E2E3C" w:rsidRPr="00612923">
        <w:t> </w:t>
      </w:r>
      <w:r w:rsidRPr="00612923">
        <w:t>fraction of the population.</w:t>
      </w:r>
    </w:p>
    <w:p w:rsidR="00FD127A" w:rsidRPr="00612923" w:rsidRDefault="00FD127A" w:rsidP="00FD127A">
      <w:pPr>
        <w:pStyle w:val="TableFigureCaption"/>
      </w:pPr>
      <w:r w:rsidRPr="00612923">
        <w:t>Table 4-8: Comparison of Load Impacts Between Notified and All SmartRate-</w:t>
      </w:r>
      <w:r w:rsidR="003E2E3C" w:rsidRPr="00612923">
        <w:t>o</w:t>
      </w:r>
      <w:r w:rsidRPr="00612923">
        <w:t>nly Customers</w:t>
      </w:r>
    </w:p>
    <w:tbl>
      <w:tblPr>
        <w:tblW w:w="6430" w:type="dxa"/>
        <w:jc w:val="center"/>
        <w:tblInd w:w="-317" w:type="dxa"/>
        <w:tblLook w:val="04A0"/>
      </w:tblPr>
      <w:tblGrid>
        <w:gridCol w:w="2270"/>
        <w:gridCol w:w="1340"/>
        <w:gridCol w:w="1420"/>
        <w:gridCol w:w="1400"/>
      </w:tblGrid>
      <w:tr w:rsidR="00FD127A" w:rsidRPr="00612923" w:rsidTr="00FD127A">
        <w:trPr>
          <w:trHeight w:val="525"/>
          <w:jc w:val="center"/>
        </w:trPr>
        <w:tc>
          <w:tcPr>
            <w:tcW w:w="2270"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FD127A" w:rsidRPr="00612923" w:rsidRDefault="00FD127A" w:rsidP="00254844">
            <w:pPr>
              <w:pStyle w:val="TableHeader"/>
              <w:keepNext/>
            </w:pPr>
            <w:r w:rsidRPr="00612923">
              <w:t> </w:t>
            </w:r>
          </w:p>
        </w:tc>
        <w:tc>
          <w:tcPr>
            <w:tcW w:w="1340" w:type="dxa"/>
            <w:tcBorders>
              <w:top w:val="single" w:sz="4" w:space="0" w:color="auto"/>
              <w:left w:val="nil"/>
              <w:bottom w:val="single" w:sz="4" w:space="0" w:color="auto"/>
              <w:right w:val="single" w:sz="4" w:space="0" w:color="FFFFFF"/>
            </w:tcBorders>
            <w:shd w:val="clear" w:color="000000" w:fill="1F497D"/>
            <w:vAlign w:val="center"/>
            <w:hideMark/>
          </w:tcPr>
          <w:p w:rsidR="00FD127A" w:rsidRPr="00612923" w:rsidRDefault="00FD127A" w:rsidP="00254844">
            <w:pPr>
              <w:pStyle w:val="TableHeader"/>
              <w:keepNext/>
            </w:pPr>
            <w:r w:rsidRPr="00612923">
              <w:t># of Customers</w:t>
            </w:r>
          </w:p>
        </w:tc>
        <w:tc>
          <w:tcPr>
            <w:tcW w:w="1420" w:type="dxa"/>
            <w:tcBorders>
              <w:top w:val="nil"/>
              <w:left w:val="nil"/>
              <w:bottom w:val="single" w:sz="4" w:space="0" w:color="auto"/>
              <w:right w:val="nil"/>
            </w:tcBorders>
            <w:shd w:val="clear" w:color="000000" w:fill="1F497D"/>
            <w:vAlign w:val="center"/>
            <w:hideMark/>
          </w:tcPr>
          <w:p w:rsidR="00FD127A" w:rsidRPr="00612923" w:rsidRDefault="00FD127A" w:rsidP="00254844">
            <w:pPr>
              <w:pStyle w:val="TableHeader"/>
              <w:keepNext/>
            </w:pPr>
            <w:r w:rsidRPr="00612923">
              <w:t>Average Impact</w:t>
            </w:r>
            <w:r w:rsidR="003E2E3C" w:rsidRPr="00612923">
              <w:t xml:space="preserve"> </w:t>
            </w:r>
            <w:r w:rsidRPr="00612923">
              <w:t>(kW)</w:t>
            </w:r>
          </w:p>
        </w:tc>
        <w:tc>
          <w:tcPr>
            <w:tcW w:w="1400" w:type="dxa"/>
            <w:tcBorders>
              <w:top w:val="nil"/>
              <w:left w:val="single" w:sz="4" w:space="0" w:color="FFFFFF"/>
              <w:bottom w:val="single" w:sz="4" w:space="0" w:color="auto"/>
              <w:right w:val="nil"/>
            </w:tcBorders>
            <w:shd w:val="clear" w:color="000000" w:fill="1F497D"/>
            <w:vAlign w:val="center"/>
            <w:hideMark/>
          </w:tcPr>
          <w:p w:rsidR="00FD127A" w:rsidRPr="00612923" w:rsidRDefault="00FD127A" w:rsidP="00254844">
            <w:pPr>
              <w:pStyle w:val="TableHeader"/>
              <w:keepNext/>
            </w:pPr>
            <w:r w:rsidRPr="00612923">
              <w:t>% Load Reduction</w:t>
            </w:r>
          </w:p>
        </w:tc>
      </w:tr>
      <w:tr w:rsidR="00FD127A" w:rsidRPr="00612923" w:rsidTr="00FD127A">
        <w:trPr>
          <w:trHeight w:val="300"/>
          <w:jc w:val="center"/>
        </w:trPr>
        <w:tc>
          <w:tcPr>
            <w:tcW w:w="2270" w:type="dxa"/>
            <w:tcBorders>
              <w:top w:val="nil"/>
              <w:left w:val="single" w:sz="4" w:space="0" w:color="auto"/>
              <w:bottom w:val="single" w:sz="4" w:space="0" w:color="auto"/>
              <w:right w:val="single" w:sz="4" w:space="0" w:color="auto"/>
            </w:tcBorders>
            <w:shd w:val="clear" w:color="000000" w:fill="FFFFFF"/>
            <w:vAlign w:val="center"/>
            <w:hideMark/>
          </w:tcPr>
          <w:p w:rsidR="00FD127A" w:rsidRPr="00612923" w:rsidRDefault="00FD127A" w:rsidP="00254844">
            <w:pPr>
              <w:pStyle w:val="TableText"/>
              <w:keepNext/>
              <w:rPr>
                <w:b/>
              </w:rPr>
            </w:pPr>
            <w:r w:rsidRPr="00612923">
              <w:rPr>
                <w:b/>
              </w:rPr>
              <w:t>All SmartRate-</w:t>
            </w:r>
            <w:r w:rsidR="003E2E3C" w:rsidRPr="00612923">
              <w:rPr>
                <w:b/>
              </w:rPr>
              <w:t>o</w:t>
            </w:r>
            <w:r w:rsidRPr="00612923">
              <w:rPr>
                <w:b/>
              </w:rPr>
              <w:t>nly</w:t>
            </w:r>
          </w:p>
        </w:tc>
        <w:tc>
          <w:tcPr>
            <w:tcW w:w="134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254844">
            <w:pPr>
              <w:pStyle w:val="TableText"/>
              <w:keepNext/>
              <w:rPr>
                <w:color w:val="000000"/>
              </w:rPr>
            </w:pPr>
            <w:r w:rsidRPr="00612923">
              <w:rPr>
                <w:color w:val="000000"/>
              </w:rPr>
              <w:t>38,667</w:t>
            </w:r>
          </w:p>
        </w:tc>
        <w:tc>
          <w:tcPr>
            <w:tcW w:w="142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254844">
            <w:pPr>
              <w:pStyle w:val="TableText"/>
              <w:keepNext/>
              <w:rPr>
                <w:color w:val="000000"/>
              </w:rPr>
            </w:pPr>
            <w:r w:rsidRPr="00612923">
              <w:rPr>
                <w:color w:val="000000"/>
              </w:rPr>
              <w:t>0.22</w:t>
            </w:r>
          </w:p>
        </w:tc>
        <w:tc>
          <w:tcPr>
            <w:tcW w:w="140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254844">
            <w:pPr>
              <w:pStyle w:val="TableText"/>
              <w:keepNext/>
              <w:rPr>
                <w:rFonts w:cs="Arial"/>
                <w:color w:val="000000"/>
                <w:szCs w:val="18"/>
              </w:rPr>
            </w:pPr>
            <w:r w:rsidRPr="00612923">
              <w:rPr>
                <w:rFonts w:cs="Arial"/>
                <w:color w:val="000000"/>
                <w:szCs w:val="18"/>
              </w:rPr>
              <w:t>13%</w:t>
            </w:r>
          </w:p>
        </w:tc>
      </w:tr>
      <w:tr w:rsidR="00FD127A" w:rsidRPr="00612923" w:rsidTr="00FD127A">
        <w:trPr>
          <w:trHeight w:val="300"/>
          <w:jc w:val="center"/>
        </w:trPr>
        <w:tc>
          <w:tcPr>
            <w:tcW w:w="2270" w:type="dxa"/>
            <w:tcBorders>
              <w:top w:val="nil"/>
              <w:left w:val="single" w:sz="4" w:space="0" w:color="auto"/>
              <w:bottom w:val="single" w:sz="4" w:space="0" w:color="auto"/>
              <w:right w:val="single" w:sz="4" w:space="0" w:color="auto"/>
            </w:tcBorders>
            <w:shd w:val="clear" w:color="000000" w:fill="FFFFFF"/>
            <w:vAlign w:val="center"/>
            <w:hideMark/>
          </w:tcPr>
          <w:p w:rsidR="00FD127A" w:rsidRPr="00612923" w:rsidRDefault="00FD127A" w:rsidP="00254844">
            <w:pPr>
              <w:pStyle w:val="TableText"/>
              <w:keepNext/>
              <w:rPr>
                <w:b/>
              </w:rPr>
            </w:pPr>
            <w:r w:rsidRPr="00612923">
              <w:rPr>
                <w:b/>
              </w:rPr>
              <w:t>Notified SmartRate-</w:t>
            </w:r>
            <w:r w:rsidR="003E2E3C" w:rsidRPr="00612923">
              <w:rPr>
                <w:b/>
              </w:rPr>
              <w:t>o</w:t>
            </w:r>
            <w:r w:rsidRPr="00612923">
              <w:rPr>
                <w:b/>
              </w:rPr>
              <w:t>nly Customers</w:t>
            </w:r>
          </w:p>
        </w:tc>
        <w:tc>
          <w:tcPr>
            <w:tcW w:w="134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254844">
            <w:pPr>
              <w:pStyle w:val="TableText"/>
              <w:keepNext/>
              <w:rPr>
                <w:color w:val="000000"/>
              </w:rPr>
            </w:pPr>
            <w:r w:rsidRPr="00612923">
              <w:rPr>
                <w:color w:val="000000"/>
              </w:rPr>
              <w:t>32,108</w:t>
            </w:r>
          </w:p>
        </w:tc>
        <w:tc>
          <w:tcPr>
            <w:tcW w:w="142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254844">
            <w:pPr>
              <w:pStyle w:val="TableText"/>
              <w:keepNext/>
              <w:rPr>
                <w:color w:val="000000"/>
              </w:rPr>
            </w:pPr>
            <w:r w:rsidRPr="00612923">
              <w:rPr>
                <w:color w:val="000000"/>
              </w:rPr>
              <w:t>0.25</w:t>
            </w:r>
          </w:p>
        </w:tc>
        <w:tc>
          <w:tcPr>
            <w:tcW w:w="140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254844">
            <w:pPr>
              <w:pStyle w:val="TableText"/>
              <w:keepNext/>
              <w:rPr>
                <w:rFonts w:cs="Arial"/>
                <w:color w:val="000000"/>
                <w:szCs w:val="18"/>
              </w:rPr>
            </w:pPr>
            <w:r w:rsidRPr="00612923">
              <w:rPr>
                <w:rFonts w:cs="Arial"/>
                <w:color w:val="000000"/>
                <w:szCs w:val="18"/>
              </w:rPr>
              <w:t>15%</w:t>
            </w:r>
          </w:p>
        </w:tc>
      </w:tr>
      <w:tr w:rsidR="00FD127A" w:rsidRPr="00612923" w:rsidTr="00FD127A">
        <w:trPr>
          <w:trHeight w:val="300"/>
          <w:jc w:val="center"/>
        </w:trPr>
        <w:tc>
          <w:tcPr>
            <w:tcW w:w="2270" w:type="dxa"/>
            <w:tcBorders>
              <w:top w:val="nil"/>
              <w:left w:val="single" w:sz="4" w:space="0" w:color="auto"/>
              <w:bottom w:val="single" w:sz="4" w:space="0" w:color="auto"/>
              <w:right w:val="single" w:sz="4" w:space="0" w:color="auto"/>
            </w:tcBorders>
            <w:shd w:val="clear" w:color="000000" w:fill="FFFFFF"/>
            <w:vAlign w:val="center"/>
            <w:hideMark/>
          </w:tcPr>
          <w:p w:rsidR="00FD127A" w:rsidRPr="00612923" w:rsidRDefault="00FD127A" w:rsidP="00254844">
            <w:pPr>
              <w:pStyle w:val="TableText"/>
              <w:keepNext/>
              <w:rPr>
                <w:b/>
              </w:rPr>
            </w:pPr>
            <w:r w:rsidRPr="00612923">
              <w:rPr>
                <w:b/>
              </w:rPr>
              <w:t>All Dually-</w:t>
            </w:r>
            <w:r w:rsidR="003E2E3C" w:rsidRPr="00612923">
              <w:rPr>
                <w:b/>
              </w:rPr>
              <w:t>e</w:t>
            </w:r>
            <w:r w:rsidRPr="00612923">
              <w:rPr>
                <w:b/>
              </w:rPr>
              <w:t>nrolled Customers</w:t>
            </w:r>
          </w:p>
        </w:tc>
        <w:tc>
          <w:tcPr>
            <w:tcW w:w="134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254844">
            <w:pPr>
              <w:pStyle w:val="TableText"/>
              <w:keepNext/>
              <w:rPr>
                <w:color w:val="000000"/>
              </w:rPr>
            </w:pPr>
            <w:r w:rsidRPr="00612923">
              <w:rPr>
                <w:color w:val="000000"/>
              </w:rPr>
              <w:t>22,132</w:t>
            </w:r>
          </w:p>
        </w:tc>
        <w:tc>
          <w:tcPr>
            <w:tcW w:w="142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254844">
            <w:pPr>
              <w:pStyle w:val="TableText"/>
              <w:keepNext/>
              <w:rPr>
                <w:color w:val="000000"/>
              </w:rPr>
            </w:pPr>
            <w:r w:rsidRPr="00612923">
              <w:rPr>
                <w:color w:val="000000"/>
              </w:rPr>
              <w:t>0.52</w:t>
            </w:r>
          </w:p>
        </w:tc>
        <w:tc>
          <w:tcPr>
            <w:tcW w:w="140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254844">
            <w:pPr>
              <w:pStyle w:val="TableText"/>
              <w:keepNext/>
              <w:rPr>
                <w:rFonts w:cs="Arial"/>
                <w:color w:val="000000"/>
                <w:szCs w:val="18"/>
              </w:rPr>
            </w:pPr>
            <w:r w:rsidRPr="00612923">
              <w:rPr>
                <w:rFonts w:cs="Arial"/>
                <w:color w:val="000000"/>
                <w:szCs w:val="18"/>
              </w:rPr>
              <w:t>25%</w:t>
            </w:r>
          </w:p>
        </w:tc>
      </w:tr>
      <w:tr w:rsidR="00FD127A" w:rsidRPr="00612923" w:rsidTr="00FD127A">
        <w:trPr>
          <w:trHeight w:val="300"/>
          <w:jc w:val="center"/>
        </w:trPr>
        <w:tc>
          <w:tcPr>
            <w:tcW w:w="2270" w:type="dxa"/>
            <w:tcBorders>
              <w:top w:val="nil"/>
              <w:left w:val="single" w:sz="4" w:space="0" w:color="auto"/>
              <w:bottom w:val="single" w:sz="4" w:space="0" w:color="auto"/>
              <w:right w:val="single" w:sz="4" w:space="0" w:color="auto"/>
            </w:tcBorders>
            <w:shd w:val="clear" w:color="000000" w:fill="FFFFFF"/>
            <w:vAlign w:val="center"/>
            <w:hideMark/>
          </w:tcPr>
          <w:p w:rsidR="00FD127A" w:rsidRPr="00612923" w:rsidRDefault="00FD127A" w:rsidP="009832E2">
            <w:pPr>
              <w:pStyle w:val="TableText"/>
              <w:rPr>
                <w:b/>
              </w:rPr>
            </w:pPr>
            <w:r w:rsidRPr="00612923">
              <w:rPr>
                <w:b/>
              </w:rPr>
              <w:t>Notified Dually-</w:t>
            </w:r>
            <w:r w:rsidR="003E2E3C" w:rsidRPr="00612923">
              <w:rPr>
                <w:b/>
              </w:rPr>
              <w:t>e</w:t>
            </w:r>
            <w:r w:rsidRPr="00612923">
              <w:rPr>
                <w:b/>
              </w:rPr>
              <w:t>nrolled Customers</w:t>
            </w:r>
          </w:p>
        </w:tc>
        <w:tc>
          <w:tcPr>
            <w:tcW w:w="134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9832E2">
            <w:pPr>
              <w:pStyle w:val="TableText"/>
              <w:rPr>
                <w:color w:val="000000"/>
              </w:rPr>
            </w:pPr>
            <w:r w:rsidRPr="00612923">
              <w:rPr>
                <w:color w:val="000000"/>
              </w:rPr>
              <w:t>20,102</w:t>
            </w:r>
          </w:p>
        </w:tc>
        <w:tc>
          <w:tcPr>
            <w:tcW w:w="142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9832E2">
            <w:pPr>
              <w:pStyle w:val="TableText"/>
              <w:rPr>
                <w:color w:val="000000"/>
              </w:rPr>
            </w:pPr>
            <w:r w:rsidRPr="00612923">
              <w:rPr>
                <w:color w:val="000000"/>
              </w:rPr>
              <w:t>0.55</w:t>
            </w:r>
          </w:p>
        </w:tc>
        <w:tc>
          <w:tcPr>
            <w:tcW w:w="140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9832E2">
            <w:pPr>
              <w:pStyle w:val="TableText"/>
              <w:rPr>
                <w:rFonts w:cs="Arial"/>
                <w:color w:val="000000"/>
                <w:szCs w:val="18"/>
              </w:rPr>
            </w:pPr>
            <w:r w:rsidRPr="00612923">
              <w:rPr>
                <w:rFonts w:cs="Arial"/>
                <w:color w:val="000000"/>
                <w:szCs w:val="18"/>
              </w:rPr>
              <w:t>26%</w:t>
            </w:r>
          </w:p>
        </w:tc>
      </w:tr>
    </w:tbl>
    <w:p w:rsidR="00FD127A" w:rsidRPr="00612923" w:rsidRDefault="00FD127A" w:rsidP="00FD127A">
      <w:pPr>
        <w:pStyle w:val="BodyParaAfterTableFigure"/>
      </w:pPr>
      <w:r w:rsidRPr="00612923">
        <w:t xml:space="preserve">Table 4-9 shows the average impact and percent load reduction by number of successful notifications averaged over all events.  The basic pattern is quite similar on each event day separately.  Not surprisingly, average load impacts are very low for SmartRate-only customers who are not notified.  What is more surprising is the fact that load impacts increase significantly as the number of notifications increase, even for customers who are successfully notified more than once.  Both the average and percentage load reduction triple between SmartRate-only customers who are successfully notified through one option and those that receive four successful notifications.  The percent and average load reduction for SmartRate-only customers who receive only a single notification, respectively, are 12% and 0.15 kW.  The same values for customers who receive four successful notifications are 24% and 0.49 kW.  </w:t>
      </w:r>
    </w:p>
    <w:p w:rsidR="00FD127A" w:rsidRPr="00612923" w:rsidRDefault="00FD127A" w:rsidP="009832E2">
      <w:pPr>
        <w:pStyle w:val="BodyParagraph"/>
      </w:pPr>
      <w:r w:rsidRPr="00612923">
        <w:t>Dually-enrolled customers who receive no notification still provide quite large load impacts due to the</w:t>
      </w:r>
      <w:r w:rsidR="003E2E3C" w:rsidRPr="00612923">
        <w:t> </w:t>
      </w:r>
      <w:r w:rsidRPr="00612923">
        <w:t>automatic control of their AC.  However, they also provide increasing impacts as the number of notifications increases, which indicates that dually-enrolled customers probably take significant steps to save energy aside from the AC load control.  The percent and average reduction for dually-enrolled customers receiving two notifications equal 22% and 0.57 kW, and dually-enrolled customers successfully notified three times reduced load on average by 35% and 0.76 kW.  There is virtually no</w:t>
      </w:r>
      <w:r w:rsidR="003E2E3C" w:rsidRPr="00612923">
        <w:t> </w:t>
      </w:r>
      <w:r w:rsidRPr="00612923">
        <w:t>difference in impact between three and four notifications for dually-enrolled customers.</w:t>
      </w:r>
    </w:p>
    <w:p w:rsidR="00FD127A" w:rsidRPr="00612923" w:rsidRDefault="00FD127A" w:rsidP="00FD127A">
      <w:pPr>
        <w:pStyle w:val="BodyParagraph"/>
      </w:pPr>
      <w:r w:rsidRPr="00612923">
        <w:t xml:space="preserve">It is difficult to determine from the existing data whether the significant increase in load reduction with the number of successful notifications is due to self selection, greater event awareness or both.  While it seems reasonable to assume that customers who are notified through multiple channels are more likely to be made aware of an upcoming event than are customers who are only notified through a </w:t>
      </w:r>
      <w:r w:rsidRPr="00612923">
        <w:lastRenderedPageBreak/>
        <w:t xml:space="preserve">single channel, it may also be true that those who provide multiple notification options are more interested in avoiding the high-priced periods on Smart Days.  </w:t>
      </w:r>
    </w:p>
    <w:p w:rsidR="00FD127A" w:rsidRPr="00612923" w:rsidRDefault="00FD127A" w:rsidP="00FD127A">
      <w:pPr>
        <w:pStyle w:val="TableFigureCaption"/>
      </w:pPr>
      <w:bookmarkStart w:id="43" w:name="_Ref286687388"/>
      <w:r w:rsidRPr="00612923">
        <w:t xml:space="preserve">Table </w:t>
      </w:r>
      <w:r w:rsidR="00071D48">
        <w:fldChar w:fldCharType="begin"/>
      </w:r>
      <w:r w:rsidR="00A22ACF">
        <w:instrText xml:space="preserve"> STYLEREF 1 \s </w:instrText>
      </w:r>
      <w:r w:rsidR="00071D48">
        <w:fldChar w:fldCharType="separate"/>
      </w:r>
      <w:r w:rsidR="00911840">
        <w:rPr>
          <w:noProof/>
        </w:rPr>
        <w:t>4</w:t>
      </w:r>
      <w:r w:rsidR="00071D48">
        <w:rPr>
          <w:noProof/>
        </w:rPr>
        <w:fldChar w:fldCharType="end"/>
      </w:r>
      <w:r w:rsidRPr="00612923">
        <w:noBreakHyphen/>
      </w:r>
      <w:bookmarkEnd w:id="43"/>
      <w:r w:rsidRPr="00612923">
        <w:t>9: Average SmartRate Load Impacts and Percent Load Reductions</w:t>
      </w:r>
      <w:r w:rsidRPr="00612923">
        <w:br/>
        <w:t>by Number of Successful Notifications per Event</w:t>
      </w:r>
    </w:p>
    <w:tbl>
      <w:tblPr>
        <w:tblW w:w="640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9"/>
        <w:gridCol w:w="2031"/>
        <w:gridCol w:w="1660"/>
        <w:gridCol w:w="1460"/>
      </w:tblGrid>
      <w:tr w:rsidR="009832E2" w:rsidRPr="00612923" w:rsidTr="003E2E3C">
        <w:trPr>
          <w:trHeight w:val="674"/>
          <w:jc w:val="center"/>
        </w:trPr>
        <w:tc>
          <w:tcPr>
            <w:tcW w:w="3280" w:type="dxa"/>
            <w:gridSpan w:val="2"/>
            <w:tcBorders>
              <w:right w:val="single" w:sz="4" w:space="0" w:color="FFFFFF" w:themeColor="background1"/>
            </w:tcBorders>
            <w:shd w:val="clear" w:color="000000" w:fill="1F497D"/>
            <w:vAlign w:val="center"/>
            <w:hideMark/>
          </w:tcPr>
          <w:p w:rsidR="009832E2" w:rsidRPr="00612923" w:rsidRDefault="009832E2" w:rsidP="00254844">
            <w:pPr>
              <w:pStyle w:val="TableHeader"/>
              <w:keepNext/>
            </w:pPr>
            <w:r w:rsidRPr="00612923">
              <w:t># of Successful Contacts</w:t>
            </w:r>
          </w:p>
        </w:tc>
        <w:tc>
          <w:tcPr>
            <w:tcW w:w="1660" w:type="dxa"/>
            <w:tcBorders>
              <w:left w:val="single" w:sz="4" w:space="0" w:color="FFFFFF" w:themeColor="background1"/>
              <w:right w:val="single" w:sz="4" w:space="0" w:color="FFFFFF" w:themeColor="background1"/>
            </w:tcBorders>
            <w:shd w:val="clear" w:color="000000" w:fill="1F497D"/>
            <w:vAlign w:val="center"/>
            <w:hideMark/>
          </w:tcPr>
          <w:p w:rsidR="009832E2" w:rsidRPr="00612923" w:rsidRDefault="009832E2" w:rsidP="00254844">
            <w:pPr>
              <w:pStyle w:val="TableHeader"/>
              <w:keepNext/>
            </w:pPr>
            <w:r w:rsidRPr="00612923">
              <w:t>Average Load Impact</w:t>
            </w:r>
            <w:r w:rsidR="003E2E3C" w:rsidRPr="00612923">
              <w:t xml:space="preserve"> </w:t>
            </w:r>
            <w:r w:rsidRPr="00612923">
              <w:t>(kW)</w:t>
            </w:r>
          </w:p>
        </w:tc>
        <w:tc>
          <w:tcPr>
            <w:tcW w:w="1460" w:type="dxa"/>
            <w:tcBorders>
              <w:left w:val="single" w:sz="4" w:space="0" w:color="FFFFFF" w:themeColor="background1"/>
            </w:tcBorders>
            <w:shd w:val="clear" w:color="000000" w:fill="1F497D"/>
            <w:vAlign w:val="center"/>
            <w:hideMark/>
          </w:tcPr>
          <w:p w:rsidR="009832E2" w:rsidRPr="00612923" w:rsidRDefault="009832E2" w:rsidP="00254844">
            <w:pPr>
              <w:pStyle w:val="TableHeader"/>
              <w:keepNext/>
            </w:pPr>
            <w:r w:rsidRPr="00612923">
              <w:t>% Impact</w:t>
            </w:r>
          </w:p>
        </w:tc>
      </w:tr>
      <w:tr w:rsidR="00FD127A" w:rsidRPr="00612923" w:rsidTr="003E2E3C">
        <w:trPr>
          <w:trHeight w:val="300"/>
          <w:jc w:val="center"/>
        </w:trPr>
        <w:tc>
          <w:tcPr>
            <w:tcW w:w="1249" w:type="dxa"/>
            <w:vMerge w:val="restart"/>
            <w:shd w:val="clear" w:color="auto" w:fill="auto"/>
            <w:vAlign w:val="center"/>
            <w:hideMark/>
          </w:tcPr>
          <w:p w:rsidR="00FD127A" w:rsidRPr="00612923" w:rsidRDefault="00FD127A" w:rsidP="009832E2">
            <w:pPr>
              <w:pStyle w:val="TableText"/>
              <w:rPr>
                <w:b/>
              </w:rPr>
            </w:pPr>
            <w:r w:rsidRPr="00612923">
              <w:rPr>
                <w:b/>
              </w:rPr>
              <w:t>SmartRate-</w:t>
            </w:r>
            <w:r w:rsidR="003E2E3C" w:rsidRPr="00612923">
              <w:rPr>
                <w:b/>
              </w:rPr>
              <w:t>o</w:t>
            </w:r>
            <w:r w:rsidRPr="00612923">
              <w:rPr>
                <w:b/>
              </w:rPr>
              <w:t>nly</w:t>
            </w:r>
          </w:p>
        </w:tc>
        <w:tc>
          <w:tcPr>
            <w:tcW w:w="2031" w:type="dxa"/>
            <w:shd w:val="clear" w:color="000000" w:fill="FFFFFF"/>
            <w:vAlign w:val="center"/>
            <w:hideMark/>
          </w:tcPr>
          <w:p w:rsidR="00FD127A" w:rsidRPr="00612923" w:rsidRDefault="00FD127A" w:rsidP="00254844">
            <w:pPr>
              <w:pStyle w:val="TableText"/>
              <w:keepNext/>
              <w:rPr>
                <w:rFonts w:cs="Arial"/>
                <w:b/>
                <w:szCs w:val="18"/>
              </w:rPr>
            </w:pPr>
            <w:r w:rsidRPr="00612923">
              <w:rPr>
                <w:rFonts w:cs="Arial"/>
                <w:b/>
                <w:szCs w:val="18"/>
              </w:rPr>
              <w:t>Zero</w:t>
            </w:r>
          </w:p>
        </w:tc>
        <w:tc>
          <w:tcPr>
            <w:tcW w:w="16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0.03</w:t>
            </w:r>
          </w:p>
        </w:tc>
        <w:tc>
          <w:tcPr>
            <w:tcW w:w="14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2%</w:t>
            </w:r>
          </w:p>
        </w:tc>
      </w:tr>
      <w:tr w:rsidR="00FD127A" w:rsidRPr="00612923" w:rsidTr="003E2E3C">
        <w:trPr>
          <w:trHeight w:val="300"/>
          <w:jc w:val="center"/>
        </w:trPr>
        <w:tc>
          <w:tcPr>
            <w:tcW w:w="1249" w:type="dxa"/>
            <w:vMerge/>
            <w:vAlign w:val="center"/>
            <w:hideMark/>
          </w:tcPr>
          <w:p w:rsidR="00FD127A" w:rsidRPr="00612923" w:rsidRDefault="00FD127A" w:rsidP="009832E2">
            <w:pPr>
              <w:pStyle w:val="TableText"/>
              <w:rPr>
                <w:b/>
              </w:rPr>
            </w:pPr>
          </w:p>
        </w:tc>
        <w:tc>
          <w:tcPr>
            <w:tcW w:w="2031" w:type="dxa"/>
            <w:shd w:val="clear" w:color="000000" w:fill="FFFFFF"/>
            <w:vAlign w:val="center"/>
            <w:hideMark/>
          </w:tcPr>
          <w:p w:rsidR="00FD127A" w:rsidRPr="00612923" w:rsidRDefault="00FD127A" w:rsidP="00254844">
            <w:pPr>
              <w:pStyle w:val="TableText"/>
              <w:keepNext/>
              <w:rPr>
                <w:rFonts w:cs="Arial"/>
                <w:b/>
                <w:szCs w:val="18"/>
              </w:rPr>
            </w:pPr>
            <w:r w:rsidRPr="00612923">
              <w:rPr>
                <w:rFonts w:cs="Arial"/>
                <w:b/>
                <w:szCs w:val="18"/>
              </w:rPr>
              <w:t>One</w:t>
            </w:r>
          </w:p>
        </w:tc>
        <w:tc>
          <w:tcPr>
            <w:tcW w:w="16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0.15</w:t>
            </w:r>
          </w:p>
        </w:tc>
        <w:tc>
          <w:tcPr>
            <w:tcW w:w="14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9%</w:t>
            </w:r>
          </w:p>
        </w:tc>
      </w:tr>
      <w:tr w:rsidR="00FD127A" w:rsidRPr="00612923" w:rsidTr="003E2E3C">
        <w:trPr>
          <w:trHeight w:val="300"/>
          <w:jc w:val="center"/>
        </w:trPr>
        <w:tc>
          <w:tcPr>
            <w:tcW w:w="1249" w:type="dxa"/>
            <w:vMerge/>
            <w:vAlign w:val="center"/>
            <w:hideMark/>
          </w:tcPr>
          <w:p w:rsidR="00FD127A" w:rsidRPr="00612923" w:rsidRDefault="00FD127A" w:rsidP="009832E2">
            <w:pPr>
              <w:pStyle w:val="TableText"/>
              <w:rPr>
                <w:b/>
              </w:rPr>
            </w:pPr>
          </w:p>
        </w:tc>
        <w:tc>
          <w:tcPr>
            <w:tcW w:w="2031" w:type="dxa"/>
            <w:shd w:val="clear" w:color="000000" w:fill="FFFFFF"/>
            <w:vAlign w:val="center"/>
            <w:hideMark/>
          </w:tcPr>
          <w:p w:rsidR="00FD127A" w:rsidRPr="00612923" w:rsidRDefault="00FD127A" w:rsidP="00254844">
            <w:pPr>
              <w:pStyle w:val="TableText"/>
              <w:keepNext/>
              <w:rPr>
                <w:rFonts w:cs="Arial"/>
                <w:b/>
                <w:szCs w:val="18"/>
              </w:rPr>
            </w:pPr>
            <w:r w:rsidRPr="00612923">
              <w:rPr>
                <w:rFonts w:cs="Arial"/>
                <w:b/>
                <w:szCs w:val="18"/>
              </w:rPr>
              <w:t>Two</w:t>
            </w:r>
          </w:p>
        </w:tc>
        <w:tc>
          <w:tcPr>
            <w:tcW w:w="16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0.29</w:t>
            </w:r>
          </w:p>
        </w:tc>
        <w:tc>
          <w:tcPr>
            <w:tcW w:w="14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17%</w:t>
            </w:r>
          </w:p>
        </w:tc>
      </w:tr>
      <w:tr w:rsidR="00FD127A" w:rsidRPr="00612923" w:rsidTr="003E2E3C">
        <w:trPr>
          <w:trHeight w:val="300"/>
          <w:jc w:val="center"/>
        </w:trPr>
        <w:tc>
          <w:tcPr>
            <w:tcW w:w="1249" w:type="dxa"/>
            <w:vMerge/>
            <w:vAlign w:val="center"/>
            <w:hideMark/>
          </w:tcPr>
          <w:p w:rsidR="00FD127A" w:rsidRPr="00612923" w:rsidRDefault="00FD127A" w:rsidP="009832E2">
            <w:pPr>
              <w:pStyle w:val="TableText"/>
              <w:rPr>
                <w:b/>
              </w:rPr>
            </w:pPr>
          </w:p>
        </w:tc>
        <w:tc>
          <w:tcPr>
            <w:tcW w:w="2031" w:type="dxa"/>
            <w:shd w:val="clear" w:color="000000" w:fill="FFFFFF"/>
            <w:vAlign w:val="center"/>
            <w:hideMark/>
          </w:tcPr>
          <w:p w:rsidR="00FD127A" w:rsidRPr="00612923" w:rsidRDefault="00FD127A" w:rsidP="00254844">
            <w:pPr>
              <w:pStyle w:val="TableText"/>
              <w:keepNext/>
              <w:rPr>
                <w:rFonts w:cs="Arial"/>
                <w:b/>
                <w:szCs w:val="18"/>
              </w:rPr>
            </w:pPr>
            <w:r w:rsidRPr="00612923">
              <w:rPr>
                <w:rFonts w:cs="Arial"/>
                <w:b/>
                <w:szCs w:val="18"/>
              </w:rPr>
              <w:t>Three</w:t>
            </w:r>
          </w:p>
        </w:tc>
        <w:tc>
          <w:tcPr>
            <w:tcW w:w="16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0.41</w:t>
            </w:r>
          </w:p>
        </w:tc>
        <w:tc>
          <w:tcPr>
            <w:tcW w:w="14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24%</w:t>
            </w:r>
          </w:p>
        </w:tc>
      </w:tr>
      <w:tr w:rsidR="00FD127A" w:rsidRPr="00612923" w:rsidTr="003E2E3C">
        <w:trPr>
          <w:trHeight w:val="300"/>
          <w:jc w:val="center"/>
        </w:trPr>
        <w:tc>
          <w:tcPr>
            <w:tcW w:w="1249" w:type="dxa"/>
            <w:vMerge/>
            <w:vAlign w:val="center"/>
            <w:hideMark/>
          </w:tcPr>
          <w:p w:rsidR="00FD127A" w:rsidRPr="00612923" w:rsidRDefault="00FD127A" w:rsidP="009832E2">
            <w:pPr>
              <w:pStyle w:val="TableText"/>
              <w:rPr>
                <w:b/>
              </w:rPr>
            </w:pPr>
          </w:p>
        </w:tc>
        <w:tc>
          <w:tcPr>
            <w:tcW w:w="2031" w:type="dxa"/>
            <w:shd w:val="clear" w:color="000000" w:fill="FFFFFF"/>
            <w:vAlign w:val="center"/>
            <w:hideMark/>
          </w:tcPr>
          <w:p w:rsidR="00FD127A" w:rsidRPr="00612923" w:rsidRDefault="00FD127A" w:rsidP="00254844">
            <w:pPr>
              <w:pStyle w:val="TableText"/>
              <w:keepNext/>
              <w:rPr>
                <w:rFonts w:cs="Arial"/>
                <w:b/>
                <w:szCs w:val="18"/>
              </w:rPr>
            </w:pPr>
            <w:r w:rsidRPr="00612923">
              <w:rPr>
                <w:rFonts w:cs="Arial"/>
                <w:b/>
                <w:szCs w:val="18"/>
              </w:rPr>
              <w:t>Four</w:t>
            </w:r>
          </w:p>
        </w:tc>
        <w:tc>
          <w:tcPr>
            <w:tcW w:w="16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0.49</w:t>
            </w:r>
          </w:p>
        </w:tc>
        <w:tc>
          <w:tcPr>
            <w:tcW w:w="14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30%</w:t>
            </w:r>
          </w:p>
        </w:tc>
      </w:tr>
      <w:tr w:rsidR="00FD127A" w:rsidRPr="00612923" w:rsidTr="003E2E3C">
        <w:trPr>
          <w:trHeight w:val="300"/>
          <w:jc w:val="center"/>
        </w:trPr>
        <w:tc>
          <w:tcPr>
            <w:tcW w:w="1249" w:type="dxa"/>
            <w:vMerge w:val="restart"/>
            <w:shd w:val="clear" w:color="auto" w:fill="auto"/>
            <w:vAlign w:val="center"/>
            <w:hideMark/>
          </w:tcPr>
          <w:p w:rsidR="00FD127A" w:rsidRPr="00612923" w:rsidRDefault="00FD127A" w:rsidP="009832E2">
            <w:pPr>
              <w:pStyle w:val="TableText"/>
              <w:rPr>
                <w:b/>
              </w:rPr>
            </w:pPr>
            <w:r w:rsidRPr="00612923">
              <w:rPr>
                <w:b/>
              </w:rPr>
              <w:t>Dually-</w:t>
            </w:r>
            <w:r w:rsidR="003E2E3C" w:rsidRPr="00612923">
              <w:rPr>
                <w:b/>
              </w:rPr>
              <w:t>e</w:t>
            </w:r>
            <w:r w:rsidRPr="00612923">
              <w:rPr>
                <w:b/>
              </w:rPr>
              <w:t>nrolled</w:t>
            </w:r>
          </w:p>
        </w:tc>
        <w:tc>
          <w:tcPr>
            <w:tcW w:w="2031" w:type="dxa"/>
            <w:shd w:val="clear" w:color="000000" w:fill="FFFFFF"/>
            <w:vAlign w:val="center"/>
            <w:hideMark/>
          </w:tcPr>
          <w:p w:rsidR="00FD127A" w:rsidRPr="00612923" w:rsidRDefault="00FD127A" w:rsidP="00254844">
            <w:pPr>
              <w:pStyle w:val="TableText"/>
              <w:keepNext/>
              <w:rPr>
                <w:rFonts w:cs="Arial"/>
                <w:b/>
                <w:szCs w:val="18"/>
              </w:rPr>
            </w:pPr>
            <w:r w:rsidRPr="00612923">
              <w:rPr>
                <w:rFonts w:cs="Arial"/>
                <w:b/>
                <w:szCs w:val="18"/>
              </w:rPr>
              <w:t>Zero</w:t>
            </w:r>
          </w:p>
        </w:tc>
        <w:tc>
          <w:tcPr>
            <w:tcW w:w="16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0.32</w:t>
            </w:r>
          </w:p>
        </w:tc>
        <w:tc>
          <w:tcPr>
            <w:tcW w:w="14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15%</w:t>
            </w:r>
          </w:p>
        </w:tc>
      </w:tr>
      <w:tr w:rsidR="00FD127A" w:rsidRPr="00612923" w:rsidTr="003E2E3C">
        <w:trPr>
          <w:trHeight w:val="300"/>
          <w:jc w:val="center"/>
        </w:trPr>
        <w:tc>
          <w:tcPr>
            <w:tcW w:w="1249" w:type="dxa"/>
            <w:vMerge/>
            <w:vAlign w:val="center"/>
            <w:hideMark/>
          </w:tcPr>
          <w:p w:rsidR="00FD127A" w:rsidRPr="00612923" w:rsidRDefault="00FD127A" w:rsidP="009832E2">
            <w:pPr>
              <w:pStyle w:val="TableText"/>
              <w:rPr>
                <w:b/>
              </w:rPr>
            </w:pPr>
          </w:p>
        </w:tc>
        <w:tc>
          <w:tcPr>
            <w:tcW w:w="2031" w:type="dxa"/>
            <w:shd w:val="clear" w:color="000000" w:fill="FFFFFF"/>
            <w:vAlign w:val="center"/>
            <w:hideMark/>
          </w:tcPr>
          <w:p w:rsidR="00FD127A" w:rsidRPr="00612923" w:rsidRDefault="00FD127A" w:rsidP="00254844">
            <w:pPr>
              <w:pStyle w:val="TableText"/>
              <w:keepNext/>
              <w:rPr>
                <w:rFonts w:cs="Arial"/>
                <w:b/>
                <w:szCs w:val="18"/>
              </w:rPr>
            </w:pPr>
            <w:r w:rsidRPr="00612923">
              <w:rPr>
                <w:rFonts w:cs="Arial"/>
                <w:b/>
                <w:szCs w:val="18"/>
              </w:rPr>
              <w:t>One</w:t>
            </w:r>
          </w:p>
        </w:tc>
        <w:tc>
          <w:tcPr>
            <w:tcW w:w="16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0.44</w:t>
            </w:r>
          </w:p>
        </w:tc>
        <w:tc>
          <w:tcPr>
            <w:tcW w:w="14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21%</w:t>
            </w:r>
          </w:p>
        </w:tc>
      </w:tr>
      <w:tr w:rsidR="00FD127A" w:rsidRPr="00612923" w:rsidTr="003E2E3C">
        <w:trPr>
          <w:trHeight w:val="300"/>
          <w:jc w:val="center"/>
        </w:trPr>
        <w:tc>
          <w:tcPr>
            <w:tcW w:w="1249" w:type="dxa"/>
            <w:vMerge/>
            <w:vAlign w:val="center"/>
            <w:hideMark/>
          </w:tcPr>
          <w:p w:rsidR="00FD127A" w:rsidRPr="00612923" w:rsidRDefault="00FD127A" w:rsidP="009832E2">
            <w:pPr>
              <w:pStyle w:val="TableText"/>
              <w:rPr>
                <w:b/>
              </w:rPr>
            </w:pPr>
          </w:p>
        </w:tc>
        <w:tc>
          <w:tcPr>
            <w:tcW w:w="2031" w:type="dxa"/>
            <w:shd w:val="clear" w:color="000000" w:fill="FFFFFF"/>
            <w:vAlign w:val="center"/>
            <w:hideMark/>
          </w:tcPr>
          <w:p w:rsidR="00FD127A" w:rsidRPr="00612923" w:rsidRDefault="00FD127A" w:rsidP="00254844">
            <w:pPr>
              <w:pStyle w:val="TableText"/>
              <w:keepNext/>
              <w:rPr>
                <w:rFonts w:cs="Arial"/>
                <w:b/>
                <w:szCs w:val="18"/>
              </w:rPr>
            </w:pPr>
            <w:r w:rsidRPr="00612923">
              <w:rPr>
                <w:rFonts w:cs="Arial"/>
                <w:b/>
                <w:szCs w:val="18"/>
              </w:rPr>
              <w:t>Two</w:t>
            </w:r>
          </w:p>
        </w:tc>
        <w:tc>
          <w:tcPr>
            <w:tcW w:w="16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0.57</w:t>
            </w:r>
          </w:p>
        </w:tc>
        <w:tc>
          <w:tcPr>
            <w:tcW w:w="14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27%</w:t>
            </w:r>
          </w:p>
        </w:tc>
      </w:tr>
      <w:tr w:rsidR="00FD127A" w:rsidRPr="00612923" w:rsidTr="003E2E3C">
        <w:trPr>
          <w:trHeight w:val="300"/>
          <w:jc w:val="center"/>
        </w:trPr>
        <w:tc>
          <w:tcPr>
            <w:tcW w:w="1249" w:type="dxa"/>
            <w:vMerge/>
            <w:vAlign w:val="center"/>
            <w:hideMark/>
          </w:tcPr>
          <w:p w:rsidR="00FD127A" w:rsidRPr="00612923" w:rsidRDefault="00FD127A" w:rsidP="009832E2">
            <w:pPr>
              <w:pStyle w:val="TableText"/>
              <w:rPr>
                <w:b/>
              </w:rPr>
            </w:pPr>
          </w:p>
        </w:tc>
        <w:tc>
          <w:tcPr>
            <w:tcW w:w="2031" w:type="dxa"/>
            <w:shd w:val="clear" w:color="000000" w:fill="FFFFFF"/>
            <w:vAlign w:val="center"/>
            <w:hideMark/>
          </w:tcPr>
          <w:p w:rsidR="00FD127A" w:rsidRPr="00612923" w:rsidRDefault="00FD127A" w:rsidP="00254844">
            <w:pPr>
              <w:pStyle w:val="TableText"/>
              <w:keepNext/>
              <w:rPr>
                <w:rFonts w:cs="Arial"/>
                <w:b/>
                <w:szCs w:val="18"/>
              </w:rPr>
            </w:pPr>
            <w:r w:rsidRPr="00612923">
              <w:rPr>
                <w:rFonts w:cs="Arial"/>
                <w:b/>
                <w:szCs w:val="18"/>
              </w:rPr>
              <w:t>Three</w:t>
            </w:r>
          </w:p>
        </w:tc>
        <w:tc>
          <w:tcPr>
            <w:tcW w:w="16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0.76</w:t>
            </w:r>
          </w:p>
        </w:tc>
        <w:tc>
          <w:tcPr>
            <w:tcW w:w="1460" w:type="dxa"/>
            <w:shd w:val="clear" w:color="000000" w:fill="FFFFFF"/>
            <w:noWrap/>
            <w:vAlign w:val="center"/>
            <w:hideMark/>
          </w:tcPr>
          <w:p w:rsidR="00FD127A" w:rsidRPr="00612923" w:rsidRDefault="00FD127A" w:rsidP="00254844">
            <w:pPr>
              <w:pStyle w:val="TableText"/>
              <w:keepNext/>
              <w:rPr>
                <w:rFonts w:cs="Arial"/>
                <w:szCs w:val="18"/>
              </w:rPr>
            </w:pPr>
            <w:r w:rsidRPr="00612923">
              <w:rPr>
                <w:rFonts w:cs="Arial"/>
                <w:szCs w:val="18"/>
              </w:rPr>
              <w:t>36%</w:t>
            </w:r>
          </w:p>
        </w:tc>
      </w:tr>
      <w:tr w:rsidR="00FD127A" w:rsidRPr="00612923" w:rsidTr="003E2E3C">
        <w:trPr>
          <w:trHeight w:val="300"/>
          <w:jc w:val="center"/>
        </w:trPr>
        <w:tc>
          <w:tcPr>
            <w:tcW w:w="1249" w:type="dxa"/>
            <w:vMerge/>
            <w:vAlign w:val="center"/>
            <w:hideMark/>
          </w:tcPr>
          <w:p w:rsidR="00FD127A" w:rsidRPr="00612923" w:rsidRDefault="00FD127A" w:rsidP="009832E2">
            <w:pPr>
              <w:pStyle w:val="TableText"/>
              <w:rPr>
                <w:b/>
              </w:rPr>
            </w:pPr>
          </w:p>
        </w:tc>
        <w:tc>
          <w:tcPr>
            <w:tcW w:w="2031" w:type="dxa"/>
            <w:shd w:val="clear" w:color="000000" w:fill="FFFFFF"/>
            <w:vAlign w:val="center"/>
            <w:hideMark/>
          </w:tcPr>
          <w:p w:rsidR="00FD127A" w:rsidRPr="00612923" w:rsidRDefault="00FD127A" w:rsidP="009832E2">
            <w:pPr>
              <w:pStyle w:val="TableText"/>
              <w:rPr>
                <w:rFonts w:cs="Arial"/>
                <w:b/>
                <w:szCs w:val="18"/>
              </w:rPr>
            </w:pPr>
            <w:r w:rsidRPr="00612923">
              <w:rPr>
                <w:rFonts w:cs="Arial"/>
                <w:b/>
                <w:szCs w:val="18"/>
              </w:rPr>
              <w:t>Four</w:t>
            </w:r>
          </w:p>
        </w:tc>
        <w:tc>
          <w:tcPr>
            <w:tcW w:w="1660" w:type="dxa"/>
            <w:shd w:val="clear" w:color="000000" w:fill="FFFFFF"/>
            <w:noWrap/>
            <w:vAlign w:val="center"/>
            <w:hideMark/>
          </w:tcPr>
          <w:p w:rsidR="00FD127A" w:rsidRPr="00612923" w:rsidRDefault="00FD127A" w:rsidP="009832E2">
            <w:pPr>
              <w:pStyle w:val="TableText"/>
              <w:rPr>
                <w:rFonts w:cs="Arial"/>
                <w:szCs w:val="18"/>
              </w:rPr>
            </w:pPr>
            <w:r w:rsidRPr="00612923">
              <w:rPr>
                <w:rFonts w:cs="Arial"/>
                <w:szCs w:val="18"/>
              </w:rPr>
              <w:t>0.76</w:t>
            </w:r>
          </w:p>
        </w:tc>
        <w:tc>
          <w:tcPr>
            <w:tcW w:w="1460" w:type="dxa"/>
            <w:shd w:val="clear" w:color="000000" w:fill="FFFFFF"/>
            <w:noWrap/>
            <w:vAlign w:val="center"/>
            <w:hideMark/>
          </w:tcPr>
          <w:p w:rsidR="00FD127A" w:rsidRPr="00612923" w:rsidRDefault="00FD127A" w:rsidP="009832E2">
            <w:pPr>
              <w:pStyle w:val="TableText"/>
              <w:rPr>
                <w:rFonts w:cs="Arial"/>
                <w:szCs w:val="18"/>
              </w:rPr>
            </w:pPr>
            <w:r w:rsidRPr="00612923">
              <w:rPr>
                <w:rFonts w:cs="Arial"/>
                <w:szCs w:val="18"/>
              </w:rPr>
              <w:t>37%</w:t>
            </w:r>
          </w:p>
        </w:tc>
      </w:tr>
    </w:tbl>
    <w:p w:rsidR="00FD127A" w:rsidRPr="00612923" w:rsidRDefault="00FD127A" w:rsidP="009832E2">
      <w:pPr>
        <w:pStyle w:val="Heading3"/>
        <w:spacing w:before="360"/>
        <w:ind w:left="1354" w:hanging="994"/>
      </w:pPr>
      <w:bookmarkStart w:id="44" w:name="_Toc349193888"/>
      <w:bookmarkStart w:id="45" w:name="_Toc352567303"/>
      <w:r w:rsidRPr="00612923">
        <w:t>Load Impacts and Central AC Ownership</w:t>
      </w:r>
      <w:bookmarkEnd w:id="44"/>
      <w:bookmarkEnd w:id="45"/>
    </w:p>
    <w:p w:rsidR="00FD127A" w:rsidRPr="00612923" w:rsidRDefault="00FD127A" w:rsidP="00FD127A">
      <w:pPr>
        <w:pStyle w:val="BodyParagraph"/>
      </w:pPr>
      <w:bookmarkStart w:id="46" w:name="_Toc289259909"/>
      <w:bookmarkStart w:id="47" w:name="_Toc289259963"/>
      <w:bookmarkEnd w:id="46"/>
      <w:bookmarkEnd w:id="47"/>
      <w:r w:rsidRPr="00612923">
        <w:t>Load impact estimates for SmartRate participants are highly positively correlated with central AC ownership and temperature.  PG&amp;E does not have direct knowledge of AC ownership among the SmartRate population except for the customers that are also enrolled in PG&amp;E’s SmartAC program.  However, it has estimates of the likelihood of AC ownership for nearly every residential customer in its</w:t>
      </w:r>
      <w:r w:rsidR="00251679" w:rsidRPr="00612923">
        <w:t> </w:t>
      </w:r>
      <w:r w:rsidRPr="00612923">
        <w:t>territory.  In 2010, FSC used the 2009 Residential Appliance Saturation Survey (RASS),</w:t>
      </w:r>
      <w:r w:rsidRPr="00612923">
        <w:rPr>
          <w:rStyle w:val="FootnoteReference"/>
        </w:rPr>
        <w:footnoteReference w:id="19"/>
      </w:r>
      <w:r w:rsidRPr="00612923">
        <w:t xml:space="preserve"> which includes information on air conditioning ownership, to develop econometric models of the likelihood of</w:t>
      </w:r>
      <w:r w:rsidR="00251679" w:rsidRPr="00612923">
        <w:t> </w:t>
      </w:r>
      <w:r w:rsidRPr="00612923">
        <w:t>AC ownership that could be applied to PG&amp;E's 4.5 million residential customers.  This model was an</w:t>
      </w:r>
      <w:r w:rsidR="00251679" w:rsidRPr="00612923">
        <w:t> </w:t>
      </w:r>
      <w:r w:rsidRPr="00612923">
        <w:t>update of a model developed in the 2009 evaluation of PG&amp;E’s SmartRate, TOU and SmartAC programs.</w:t>
      </w:r>
      <w:r w:rsidRPr="00612923">
        <w:rPr>
          <w:rStyle w:val="FootnoteReference"/>
        </w:rPr>
        <w:footnoteReference w:id="20"/>
      </w:r>
      <w:r w:rsidRPr="00612923">
        <w:t xml:space="preserve">  The model estimated AC ownership as a function of monthly usage data, weather sensitivity, location and enrollment on the low income CARE tariff and various other factors.</w:t>
      </w:r>
      <w:r w:rsidRPr="00612923">
        <w:rPr>
          <w:rStyle w:val="FootnoteReference"/>
        </w:rPr>
        <w:footnoteReference w:id="21"/>
      </w:r>
    </w:p>
    <w:p w:rsidR="00FD127A" w:rsidRPr="00612923" w:rsidRDefault="00FD127A" w:rsidP="00FD127A">
      <w:pPr>
        <w:pStyle w:val="BodyParagraph"/>
      </w:pPr>
      <w:r w:rsidRPr="00612923">
        <w:t xml:space="preserve">Table 4-10 summarizes the AC saturation and percent of customers dually-enrolled on SmartAC (meaning they definitely have CAC) for each LCA and CARE status.  As expected, the saturation of AC ownership among SmartRate participants is lower in the more temperate zones such as the Bay Area and higher in hotter, inland zones such as Greater Fresno and Kern County.  Saturation of AC ownership among CARE customers (69%) is higher than among non-CARE customers (60%) due to </w:t>
      </w:r>
      <w:r w:rsidRPr="00612923">
        <w:lastRenderedPageBreak/>
        <w:t>their geographic location.  Most CARE customers are located in the hottest areas</w:t>
      </w:r>
      <w:r w:rsidR="00251679" w:rsidRPr="00612923">
        <w:t>—</w:t>
      </w:r>
      <w:r w:rsidRPr="00612923">
        <w:t>Kern and Fresno</w:t>
      </w:r>
      <w:r w:rsidR="00251679" w:rsidRPr="00612923">
        <w:t>—</w:t>
      </w:r>
      <w:r w:rsidRPr="00612923">
        <w:t>and, as a result, are likely to own central AC units.  Except for the Greater Bay Area, within each LCA, low income CARE customers have lower AC saturation levels than non-CARE customers, although AC ownership is generally comparable.  The higher AC saturation among low income Bay Area customers is again a function of the unique micro climates of the area.  The proportion of low income customers is higher in outlying, hotter areas of the Bay Area than in the more temperate areas close to the economic hubs of San Francisco, San Jose and the Silicon Valley.</w:t>
      </w:r>
    </w:p>
    <w:p w:rsidR="00FD127A" w:rsidRPr="00612923" w:rsidRDefault="00FD127A" w:rsidP="00FD127A">
      <w:pPr>
        <w:pStyle w:val="TableFigureCaption"/>
      </w:pPr>
      <w:r w:rsidRPr="00612923">
        <w:t>Table 4-10: Central Air Conditioning Saturation for SmartRate Customers</w:t>
      </w:r>
      <w:r w:rsidRPr="00612923">
        <w:br/>
        <w:t>by Geographic Area and Low Income Tariff Enrollment</w:t>
      </w:r>
    </w:p>
    <w:tbl>
      <w:tblPr>
        <w:tblW w:w="690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5"/>
        <w:gridCol w:w="2115"/>
        <w:gridCol w:w="1620"/>
        <w:gridCol w:w="1530"/>
      </w:tblGrid>
      <w:tr w:rsidR="00FD127A" w:rsidRPr="00612923" w:rsidTr="00251679">
        <w:trPr>
          <w:trHeight w:val="330"/>
          <w:jc w:val="center"/>
        </w:trPr>
        <w:tc>
          <w:tcPr>
            <w:tcW w:w="1635" w:type="dxa"/>
            <w:vMerge w:val="restart"/>
            <w:tcBorders>
              <w:right w:val="single" w:sz="4" w:space="0" w:color="FFFFFF" w:themeColor="background1"/>
            </w:tcBorders>
            <w:shd w:val="clear" w:color="000000" w:fill="1F497D"/>
            <w:vAlign w:val="center"/>
            <w:hideMark/>
          </w:tcPr>
          <w:p w:rsidR="00FD127A" w:rsidRPr="00612923" w:rsidRDefault="00FD127A" w:rsidP="00254844">
            <w:pPr>
              <w:pStyle w:val="TableHeader"/>
              <w:keepNext/>
              <w:keepLines/>
            </w:pPr>
            <w:r w:rsidRPr="00612923">
              <w:t>CARE Status</w:t>
            </w:r>
          </w:p>
        </w:tc>
        <w:tc>
          <w:tcPr>
            <w:tcW w:w="2115" w:type="dxa"/>
            <w:vMerge w:val="restart"/>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keepLines/>
            </w:pPr>
            <w:r w:rsidRPr="00612923">
              <w:t>Local Capacity Area</w:t>
            </w:r>
          </w:p>
        </w:tc>
        <w:tc>
          <w:tcPr>
            <w:tcW w:w="1620" w:type="dxa"/>
            <w:vMerge w:val="restart"/>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keepLines/>
            </w:pPr>
            <w:r w:rsidRPr="00612923">
              <w:t>Estimated Central AC Saturation</w:t>
            </w:r>
          </w:p>
        </w:tc>
        <w:tc>
          <w:tcPr>
            <w:tcW w:w="1530" w:type="dxa"/>
            <w:vMerge w:val="restart"/>
            <w:tcBorders>
              <w:left w:val="single" w:sz="4" w:space="0" w:color="FFFFFF" w:themeColor="background1"/>
            </w:tcBorders>
            <w:shd w:val="clear" w:color="000000" w:fill="1F497D"/>
            <w:vAlign w:val="center"/>
            <w:hideMark/>
          </w:tcPr>
          <w:p w:rsidR="00FD127A" w:rsidRPr="00612923" w:rsidRDefault="00FD127A" w:rsidP="00254844">
            <w:pPr>
              <w:pStyle w:val="TableHeader"/>
              <w:keepNext/>
              <w:keepLines/>
            </w:pPr>
            <w:r w:rsidRPr="00612923">
              <w:t>% Dually Enrolled on SmartAC</w:t>
            </w:r>
          </w:p>
        </w:tc>
      </w:tr>
      <w:tr w:rsidR="00FD127A" w:rsidRPr="00612923" w:rsidTr="00251679">
        <w:trPr>
          <w:trHeight w:val="300"/>
          <w:jc w:val="center"/>
        </w:trPr>
        <w:tc>
          <w:tcPr>
            <w:tcW w:w="1635" w:type="dxa"/>
            <w:vMerge/>
            <w:tcBorders>
              <w:right w:val="single" w:sz="4" w:space="0" w:color="FFFFFF" w:themeColor="background1"/>
            </w:tcBorders>
            <w:vAlign w:val="center"/>
            <w:hideMark/>
          </w:tcPr>
          <w:p w:rsidR="00FD127A" w:rsidRPr="00612923" w:rsidRDefault="00FD127A" w:rsidP="00254844">
            <w:pPr>
              <w:keepNext/>
              <w:keepLines/>
              <w:spacing w:after="0" w:line="240" w:lineRule="auto"/>
              <w:rPr>
                <w:rFonts w:ascii="Arial" w:hAnsi="Arial" w:cs="Arial"/>
                <w:b/>
                <w:bCs/>
                <w:color w:val="FFFFFF"/>
                <w:sz w:val="18"/>
                <w:szCs w:val="18"/>
              </w:rPr>
            </w:pPr>
          </w:p>
        </w:tc>
        <w:tc>
          <w:tcPr>
            <w:tcW w:w="2115" w:type="dxa"/>
            <w:vMerge/>
            <w:tcBorders>
              <w:left w:val="single" w:sz="4" w:space="0" w:color="FFFFFF" w:themeColor="background1"/>
              <w:right w:val="single" w:sz="4" w:space="0" w:color="FFFFFF" w:themeColor="background1"/>
            </w:tcBorders>
            <w:vAlign w:val="center"/>
            <w:hideMark/>
          </w:tcPr>
          <w:p w:rsidR="00FD127A" w:rsidRPr="00612923" w:rsidRDefault="00FD127A" w:rsidP="00254844">
            <w:pPr>
              <w:keepNext/>
              <w:keepLines/>
              <w:spacing w:after="0" w:line="240" w:lineRule="auto"/>
              <w:rPr>
                <w:rFonts w:ascii="Arial" w:hAnsi="Arial" w:cs="Arial"/>
                <w:b/>
                <w:bCs/>
                <w:color w:val="FFFFFF"/>
                <w:sz w:val="18"/>
                <w:szCs w:val="18"/>
              </w:rPr>
            </w:pPr>
          </w:p>
        </w:tc>
        <w:tc>
          <w:tcPr>
            <w:tcW w:w="1620" w:type="dxa"/>
            <w:vMerge/>
            <w:tcBorders>
              <w:left w:val="single" w:sz="4" w:space="0" w:color="FFFFFF" w:themeColor="background1"/>
              <w:right w:val="single" w:sz="4" w:space="0" w:color="FFFFFF" w:themeColor="background1"/>
            </w:tcBorders>
            <w:vAlign w:val="center"/>
            <w:hideMark/>
          </w:tcPr>
          <w:p w:rsidR="00FD127A" w:rsidRPr="00612923" w:rsidRDefault="00FD127A" w:rsidP="00254844">
            <w:pPr>
              <w:keepNext/>
              <w:keepLines/>
              <w:spacing w:after="0" w:line="240" w:lineRule="auto"/>
              <w:rPr>
                <w:rFonts w:ascii="Arial" w:hAnsi="Arial" w:cs="Arial"/>
                <w:b/>
                <w:bCs/>
                <w:color w:val="FFFFFF"/>
                <w:sz w:val="18"/>
                <w:szCs w:val="18"/>
              </w:rPr>
            </w:pPr>
          </w:p>
        </w:tc>
        <w:tc>
          <w:tcPr>
            <w:tcW w:w="1530" w:type="dxa"/>
            <w:vMerge/>
            <w:tcBorders>
              <w:left w:val="single" w:sz="4" w:space="0" w:color="FFFFFF" w:themeColor="background1"/>
            </w:tcBorders>
            <w:vAlign w:val="center"/>
            <w:hideMark/>
          </w:tcPr>
          <w:p w:rsidR="00FD127A" w:rsidRPr="00612923" w:rsidRDefault="00FD127A" w:rsidP="00254844">
            <w:pPr>
              <w:keepNext/>
              <w:keepLines/>
              <w:spacing w:after="0" w:line="240" w:lineRule="auto"/>
              <w:rPr>
                <w:rFonts w:ascii="Arial" w:hAnsi="Arial" w:cs="Arial"/>
                <w:b/>
                <w:bCs/>
                <w:color w:val="FFFFFF"/>
                <w:sz w:val="18"/>
                <w:szCs w:val="18"/>
              </w:rPr>
            </w:pPr>
          </w:p>
        </w:tc>
      </w:tr>
      <w:tr w:rsidR="00FD127A" w:rsidRPr="00612923" w:rsidTr="00251679">
        <w:trPr>
          <w:trHeight w:val="300"/>
          <w:jc w:val="center"/>
        </w:trPr>
        <w:tc>
          <w:tcPr>
            <w:tcW w:w="1635" w:type="dxa"/>
            <w:vMerge w:val="restart"/>
            <w:shd w:val="clear" w:color="auto" w:fill="auto"/>
            <w:noWrap/>
            <w:vAlign w:val="center"/>
            <w:hideMark/>
          </w:tcPr>
          <w:p w:rsidR="00FD127A" w:rsidRPr="00612923" w:rsidRDefault="00FD127A" w:rsidP="00254844">
            <w:pPr>
              <w:pStyle w:val="TableText"/>
              <w:keepNext/>
              <w:keepLines/>
            </w:pPr>
            <w:r w:rsidRPr="00612923">
              <w:t>Non-CARE</w:t>
            </w:r>
          </w:p>
        </w:tc>
        <w:tc>
          <w:tcPr>
            <w:tcW w:w="2115" w:type="dxa"/>
            <w:shd w:val="clear" w:color="auto" w:fill="auto"/>
            <w:noWrap/>
            <w:vAlign w:val="center"/>
            <w:hideMark/>
          </w:tcPr>
          <w:p w:rsidR="00FD127A" w:rsidRPr="00612923" w:rsidRDefault="00FD127A" w:rsidP="00254844">
            <w:pPr>
              <w:pStyle w:val="TableText"/>
              <w:keepNext/>
              <w:keepLines/>
            </w:pPr>
            <w:r w:rsidRPr="00612923">
              <w:t>Greater Bay Area</w:t>
            </w:r>
          </w:p>
        </w:tc>
        <w:tc>
          <w:tcPr>
            <w:tcW w:w="1620" w:type="dxa"/>
            <w:shd w:val="clear" w:color="auto" w:fill="auto"/>
            <w:noWrap/>
            <w:vAlign w:val="center"/>
            <w:hideMark/>
          </w:tcPr>
          <w:p w:rsidR="00FD127A" w:rsidRPr="00612923" w:rsidRDefault="00FD127A" w:rsidP="00254844">
            <w:pPr>
              <w:pStyle w:val="TableText"/>
              <w:keepNext/>
              <w:keepLines/>
            </w:pPr>
            <w:r w:rsidRPr="00612923">
              <w:t>41%</w:t>
            </w:r>
          </w:p>
        </w:tc>
        <w:tc>
          <w:tcPr>
            <w:tcW w:w="1530" w:type="dxa"/>
            <w:shd w:val="clear" w:color="auto" w:fill="auto"/>
            <w:noWrap/>
            <w:vAlign w:val="center"/>
            <w:hideMark/>
          </w:tcPr>
          <w:p w:rsidR="00FD127A" w:rsidRPr="00612923" w:rsidRDefault="00FD127A" w:rsidP="00254844">
            <w:pPr>
              <w:pStyle w:val="TableText"/>
              <w:keepNext/>
              <w:keepLines/>
            </w:pPr>
            <w:r w:rsidRPr="00612923">
              <w:t>37%</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Greater Fresno</w:t>
            </w:r>
          </w:p>
        </w:tc>
        <w:tc>
          <w:tcPr>
            <w:tcW w:w="1620" w:type="dxa"/>
            <w:shd w:val="clear" w:color="auto" w:fill="auto"/>
            <w:noWrap/>
            <w:vAlign w:val="center"/>
            <w:hideMark/>
          </w:tcPr>
          <w:p w:rsidR="00FD127A" w:rsidRPr="00612923" w:rsidRDefault="00FD127A" w:rsidP="00254844">
            <w:pPr>
              <w:pStyle w:val="TableText"/>
              <w:keepNext/>
              <w:keepLines/>
            </w:pPr>
            <w:r w:rsidRPr="00612923">
              <w:t>88%</w:t>
            </w:r>
          </w:p>
        </w:tc>
        <w:tc>
          <w:tcPr>
            <w:tcW w:w="1530" w:type="dxa"/>
            <w:shd w:val="clear" w:color="auto" w:fill="auto"/>
            <w:noWrap/>
            <w:vAlign w:val="center"/>
            <w:hideMark/>
          </w:tcPr>
          <w:p w:rsidR="00FD127A" w:rsidRPr="00612923" w:rsidRDefault="00FD127A" w:rsidP="00254844">
            <w:pPr>
              <w:pStyle w:val="TableText"/>
              <w:keepNext/>
              <w:keepLines/>
            </w:pPr>
            <w:r w:rsidRPr="00612923">
              <w:t>53%</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Kern</w:t>
            </w:r>
          </w:p>
        </w:tc>
        <w:tc>
          <w:tcPr>
            <w:tcW w:w="1620" w:type="dxa"/>
            <w:shd w:val="clear" w:color="auto" w:fill="auto"/>
            <w:noWrap/>
            <w:vAlign w:val="center"/>
            <w:hideMark/>
          </w:tcPr>
          <w:p w:rsidR="00FD127A" w:rsidRPr="00612923" w:rsidRDefault="00FD127A" w:rsidP="00254844">
            <w:pPr>
              <w:pStyle w:val="TableText"/>
              <w:keepNext/>
              <w:keepLines/>
            </w:pPr>
            <w:r w:rsidRPr="00612923">
              <w:t>92%</w:t>
            </w:r>
          </w:p>
        </w:tc>
        <w:tc>
          <w:tcPr>
            <w:tcW w:w="1530" w:type="dxa"/>
            <w:shd w:val="clear" w:color="auto" w:fill="auto"/>
            <w:noWrap/>
            <w:vAlign w:val="center"/>
            <w:hideMark/>
          </w:tcPr>
          <w:p w:rsidR="00FD127A" w:rsidRPr="00612923" w:rsidRDefault="00FD127A" w:rsidP="00254844">
            <w:pPr>
              <w:pStyle w:val="TableText"/>
              <w:keepNext/>
              <w:keepLines/>
            </w:pPr>
            <w:r w:rsidRPr="00612923">
              <w:t>27%</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Northern Coast</w:t>
            </w:r>
          </w:p>
        </w:tc>
        <w:tc>
          <w:tcPr>
            <w:tcW w:w="1620" w:type="dxa"/>
            <w:shd w:val="clear" w:color="auto" w:fill="auto"/>
            <w:noWrap/>
            <w:vAlign w:val="center"/>
            <w:hideMark/>
          </w:tcPr>
          <w:p w:rsidR="00FD127A" w:rsidRPr="00612923" w:rsidRDefault="00FD127A" w:rsidP="00254844">
            <w:pPr>
              <w:pStyle w:val="TableText"/>
              <w:keepNext/>
              <w:keepLines/>
            </w:pPr>
            <w:r w:rsidRPr="00612923">
              <w:t>43%</w:t>
            </w:r>
          </w:p>
        </w:tc>
        <w:tc>
          <w:tcPr>
            <w:tcW w:w="1530" w:type="dxa"/>
            <w:shd w:val="clear" w:color="auto" w:fill="auto"/>
            <w:noWrap/>
            <w:vAlign w:val="center"/>
            <w:hideMark/>
          </w:tcPr>
          <w:p w:rsidR="00FD127A" w:rsidRPr="00612923" w:rsidRDefault="00FD127A" w:rsidP="00254844">
            <w:pPr>
              <w:pStyle w:val="TableText"/>
              <w:keepNext/>
              <w:keepLines/>
            </w:pPr>
            <w:r w:rsidRPr="00612923">
              <w:t>48%</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Other</w:t>
            </w:r>
          </w:p>
        </w:tc>
        <w:tc>
          <w:tcPr>
            <w:tcW w:w="1620" w:type="dxa"/>
            <w:shd w:val="clear" w:color="auto" w:fill="auto"/>
            <w:noWrap/>
            <w:vAlign w:val="center"/>
            <w:hideMark/>
          </w:tcPr>
          <w:p w:rsidR="00FD127A" w:rsidRPr="00612923" w:rsidRDefault="00FD127A" w:rsidP="00254844">
            <w:pPr>
              <w:pStyle w:val="TableText"/>
              <w:keepNext/>
              <w:keepLines/>
            </w:pPr>
            <w:r w:rsidRPr="00612923">
              <w:t>75%</w:t>
            </w:r>
          </w:p>
        </w:tc>
        <w:tc>
          <w:tcPr>
            <w:tcW w:w="1530" w:type="dxa"/>
            <w:shd w:val="clear" w:color="auto" w:fill="auto"/>
            <w:noWrap/>
            <w:vAlign w:val="center"/>
            <w:hideMark/>
          </w:tcPr>
          <w:p w:rsidR="00FD127A" w:rsidRPr="00612923" w:rsidRDefault="00FD127A" w:rsidP="00254844">
            <w:pPr>
              <w:pStyle w:val="TableText"/>
              <w:keepNext/>
              <w:keepLines/>
            </w:pPr>
            <w:r w:rsidRPr="00612923">
              <w:t>47%</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Sierra</w:t>
            </w:r>
          </w:p>
        </w:tc>
        <w:tc>
          <w:tcPr>
            <w:tcW w:w="1620" w:type="dxa"/>
            <w:shd w:val="clear" w:color="auto" w:fill="auto"/>
            <w:noWrap/>
            <w:vAlign w:val="center"/>
            <w:hideMark/>
          </w:tcPr>
          <w:p w:rsidR="00FD127A" w:rsidRPr="00612923" w:rsidRDefault="00FD127A" w:rsidP="00254844">
            <w:pPr>
              <w:pStyle w:val="TableText"/>
              <w:keepNext/>
              <w:keepLines/>
            </w:pPr>
            <w:r w:rsidRPr="00612923">
              <w:t>87%</w:t>
            </w:r>
          </w:p>
        </w:tc>
        <w:tc>
          <w:tcPr>
            <w:tcW w:w="1530" w:type="dxa"/>
            <w:shd w:val="clear" w:color="auto" w:fill="auto"/>
            <w:noWrap/>
            <w:vAlign w:val="center"/>
            <w:hideMark/>
          </w:tcPr>
          <w:p w:rsidR="00FD127A" w:rsidRPr="00612923" w:rsidRDefault="00FD127A" w:rsidP="00254844">
            <w:pPr>
              <w:pStyle w:val="TableText"/>
              <w:keepNext/>
              <w:keepLines/>
            </w:pPr>
            <w:r w:rsidRPr="00612923">
              <w:t>54%</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Stockton</w:t>
            </w:r>
          </w:p>
        </w:tc>
        <w:tc>
          <w:tcPr>
            <w:tcW w:w="1620" w:type="dxa"/>
            <w:shd w:val="clear" w:color="auto" w:fill="auto"/>
            <w:noWrap/>
            <w:vAlign w:val="center"/>
            <w:hideMark/>
          </w:tcPr>
          <w:p w:rsidR="00FD127A" w:rsidRPr="00612923" w:rsidRDefault="00FD127A" w:rsidP="00254844">
            <w:pPr>
              <w:pStyle w:val="TableText"/>
              <w:keepNext/>
              <w:keepLines/>
            </w:pPr>
            <w:r w:rsidRPr="00612923">
              <w:t>84%</w:t>
            </w:r>
          </w:p>
        </w:tc>
        <w:tc>
          <w:tcPr>
            <w:tcW w:w="1530" w:type="dxa"/>
            <w:shd w:val="clear" w:color="auto" w:fill="auto"/>
            <w:noWrap/>
            <w:vAlign w:val="center"/>
            <w:hideMark/>
          </w:tcPr>
          <w:p w:rsidR="00FD127A" w:rsidRPr="00612923" w:rsidRDefault="00FD127A" w:rsidP="00254844">
            <w:pPr>
              <w:pStyle w:val="TableText"/>
              <w:keepNext/>
              <w:keepLines/>
            </w:pPr>
            <w:r w:rsidRPr="00612923">
              <w:t>50%</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rPr>
                <w:b/>
                <w:bCs/>
              </w:rPr>
            </w:pPr>
            <w:r w:rsidRPr="00612923">
              <w:rPr>
                <w:b/>
                <w:bCs/>
              </w:rPr>
              <w:t>Total</w:t>
            </w:r>
          </w:p>
        </w:tc>
        <w:tc>
          <w:tcPr>
            <w:tcW w:w="1620" w:type="dxa"/>
            <w:shd w:val="clear" w:color="auto" w:fill="auto"/>
            <w:noWrap/>
            <w:vAlign w:val="center"/>
            <w:hideMark/>
          </w:tcPr>
          <w:p w:rsidR="00FD127A" w:rsidRPr="00612923" w:rsidRDefault="00FD127A" w:rsidP="00254844">
            <w:pPr>
              <w:pStyle w:val="TableText"/>
              <w:keepNext/>
              <w:keepLines/>
              <w:rPr>
                <w:b/>
                <w:bCs/>
              </w:rPr>
            </w:pPr>
            <w:r w:rsidRPr="00612923">
              <w:rPr>
                <w:b/>
                <w:bCs/>
              </w:rPr>
              <w:t>60%</w:t>
            </w:r>
          </w:p>
        </w:tc>
        <w:tc>
          <w:tcPr>
            <w:tcW w:w="1530" w:type="dxa"/>
            <w:shd w:val="clear" w:color="auto" w:fill="auto"/>
            <w:noWrap/>
            <w:vAlign w:val="center"/>
            <w:hideMark/>
          </w:tcPr>
          <w:p w:rsidR="00FD127A" w:rsidRPr="00612923" w:rsidRDefault="00FD127A" w:rsidP="00254844">
            <w:pPr>
              <w:pStyle w:val="TableText"/>
              <w:keepNext/>
              <w:keepLines/>
              <w:rPr>
                <w:b/>
                <w:bCs/>
              </w:rPr>
            </w:pPr>
            <w:r w:rsidRPr="00612923">
              <w:rPr>
                <w:b/>
                <w:bCs/>
              </w:rPr>
              <w:t>43%</w:t>
            </w:r>
          </w:p>
        </w:tc>
      </w:tr>
      <w:tr w:rsidR="00FD127A" w:rsidRPr="00612923" w:rsidTr="00251679">
        <w:trPr>
          <w:trHeight w:val="300"/>
          <w:jc w:val="center"/>
        </w:trPr>
        <w:tc>
          <w:tcPr>
            <w:tcW w:w="1635" w:type="dxa"/>
            <w:vMerge w:val="restart"/>
            <w:shd w:val="clear" w:color="auto" w:fill="auto"/>
            <w:noWrap/>
            <w:vAlign w:val="center"/>
            <w:hideMark/>
          </w:tcPr>
          <w:p w:rsidR="00FD127A" w:rsidRPr="00612923" w:rsidRDefault="00FD127A" w:rsidP="00254844">
            <w:pPr>
              <w:pStyle w:val="TableText"/>
              <w:keepNext/>
              <w:keepLines/>
            </w:pPr>
            <w:r w:rsidRPr="00612923">
              <w:t>CARE</w:t>
            </w:r>
          </w:p>
        </w:tc>
        <w:tc>
          <w:tcPr>
            <w:tcW w:w="2115" w:type="dxa"/>
            <w:shd w:val="clear" w:color="auto" w:fill="auto"/>
            <w:noWrap/>
            <w:vAlign w:val="center"/>
            <w:hideMark/>
          </w:tcPr>
          <w:p w:rsidR="00FD127A" w:rsidRPr="00612923" w:rsidRDefault="00FD127A" w:rsidP="00254844">
            <w:pPr>
              <w:pStyle w:val="TableText"/>
              <w:keepNext/>
              <w:keepLines/>
            </w:pPr>
            <w:r w:rsidRPr="00612923">
              <w:t>Greater Bay Area</w:t>
            </w:r>
          </w:p>
        </w:tc>
        <w:tc>
          <w:tcPr>
            <w:tcW w:w="1620" w:type="dxa"/>
            <w:shd w:val="clear" w:color="auto" w:fill="auto"/>
            <w:noWrap/>
            <w:vAlign w:val="center"/>
            <w:hideMark/>
          </w:tcPr>
          <w:p w:rsidR="00FD127A" w:rsidRPr="00612923" w:rsidRDefault="00FD127A" w:rsidP="00254844">
            <w:pPr>
              <w:pStyle w:val="TableText"/>
              <w:keepNext/>
              <w:keepLines/>
            </w:pPr>
            <w:r w:rsidRPr="00612923">
              <w:t>31%</w:t>
            </w:r>
          </w:p>
        </w:tc>
        <w:tc>
          <w:tcPr>
            <w:tcW w:w="1530" w:type="dxa"/>
            <w:shd w:val="clear" w:color="auto" w:fill="auto"/>
            <w:noWrap/>
            <w:vAlign w:val="center"/>
            <w:hideMark/>
          </w:tcPr>
          <w:p w:rsidR="00FD127A" w:rsidRPr="00612923" w:rsidRDefault="00FD127A" w:rsidP="00254844">
            <w:pPr>
              <w:pStyle w:val="TableText"/>
              <w:keepNext/>
              <w:keepLines/>
            </w:pPr>
            <w:r w:rsidRPr="00612923">
              <w:t>3%</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Greater Fresno</w:t>
            </w:r>
          </w:p>
        </w:tc>
        <w:tc>
          <w:tcPr>
            <w:tcW w:w="1620" w:type="dxa"/>
            <w:shd w:val="clear" w:color="auto" w:fill="auto"/>
            <w:noWrap/>
            <w:vAlign w:val="center"/>
            <w:hideMark/>
          </w:tcPr>
          <w:p w:rsidR="00FD127A" w:rsidRPr="00612923" w:rsidRDefault="00FD127A" w:rsidP="00254844">
            <w:pPr>
              <w:pStyle w:val="TableText"/>
              <w:keepNext/>
              <w:keepLines/>
            </w:pPr>
            <w:r w:rsidRPr="00612923">
              <w:t>84%</w:t>
            </w:r>
          </w:p>
        </w:tc>
        <w:tc>
          <w:tcPr>
            <w:tcW w:w="1530" w:type="dxa"/>
            <w:shd w:val="clear" w:color="auto" w:fill="auto"/>
            <w:noWrap/>
            <w:vAlign w:val="center"/>
            <w:hideMark/>
          </w:tcPr>
          <w:p w:rsidR="00FD127A" w:rsidRPr="00612923" w:rsidRDefault="00FD127A" w:rsidP="00254844">
            <w:pPr>
              <w:pStyle w:val="TableText"/>
              <w:keepNext/>
              <w:keepLines/>
            </w:pPr>
            <w:r w:rsidRPr="00612923">
              <w:t>14%</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Kern</w:t>
            </w:r>
          </w:p>
        </w:tc>
        <w:tc>
          <w:tcPr>
            <w:tcW w:w="1620" w:type="dxa"/>
            <w:shd w:val="clear" w:color="auto" w:fill="auto"/>
            <w:noWrap/>
            <w:vAlign w:val="center"/>
            <w:hideMark/>
          </w:tcPr>
          <w:p w:rsidR="00FD127A" w:rsidRPr="00612923" w:rsidRDefault="00FD127A" w:rsidP="00254844">
            <w:pPr>
              <w:pStyle w:val="TableText"/>
              <w:keepNext/>
              <w:keepLines/>
            </w:pPr>
            <w:r w:rsidRPr="00612923">
              <w:t>88%</w:t>
            </w:r>
          </w:p>
        </w:tc>
        <w:tc>
          <w:tcPr>
            <w:tcW w:w="1530" w:type="dxa"/>
            <w:shd w:val="clear" w:color="auto" w:fill="auto"/>
            <w:noWrap/>
            <w:vAlign w:val="center"/>
            <w:hideMark/>
          </w:tcPr>
          <w:p w:rsidR="00FD127A" w:rsidRPr="00612923" w:rsidRDefault="00FD127A" w:rsidP="00254844">
            <w:pPr>
              <w:pStyle w:val="TableText"/>
              <w:keepNext/>
              <w:keepLines/>
            </w:pPr>
            <w:r w:rsidRPr="00612923">
              <w:t>13%</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Northern Coast</w:t>
            </w:r>
          </w:p>
        </w:tc>
        <w:tc>
          <w:tcPr>
            <w:tcW w:w="1620" w:type="dxa"/>
            <w:shd w:val="clear" w:color="auto" w:fill="auto"/>
            <w:noWrap/>
            <w:vAlign w:val="center"/>
            <w:hideMark/>
          </w:tcPr>
          <w:p w:rsidR="00FD127A" w:rsidRPr="00612923" w:rsidRDefault="00FD127A" w:rsidP="00254844">
            <w:pPr>
              <w:pStyle w:val="TableText"/>
              <w:keepNext/>
              <w:keepLines/>
            </w:pPr>
            <w:r w:rsidRPr="00612923">
              <w:t>42%</w:t>
            </w:r>
          </w:p>
        </w:tc>
        <w:tc>
          <w:tcPr>
            <w:tcW w:w="1530" w:type="dxa"/>
            <w:shd w:val="clear" w:color="auto" w:fill="auto"/>
            <w:noWrap/>
            <w:vAlign w:val="center"/>
            <w:hideMark/>
          </w:tcPr>
          <w:p w:rsidR="00FD127A" w:rsidRPr="00612923" w:rsidRDefault="00FD127A" w:rsidP="00254844">
            <w:pPr>
              <w:pStyle w:val="TableText"/>
              <w:keepNext/>
              <w:keepLines/>
            </w:pPr>
            <w:r w:rsidRPr="00612923">
              <w:t>3%</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Other</w:t>
            </w:r>
          </w:p>
        </w:tc>
        <w:tc>
          <w:tcPr>
            <w:tcW w:w="1620" w:type="dxa"/>
            <w:shd w:val="clear" w:color="auto" w:fill="auto"/>
            <w:noWrap/>
            <w:vAlign w:val="center"/>
            <w:hideMark/>
          </w:tcPr>
          <w:p w:rsidR="00FD127A" w:rsidRPr="00612923" w:rsidRDefault="00FD127A" w:rsidP="00254844">
            <w:pPr>
              <w:pStyle w:val="TableText"/>
              <w:keepNext/>
              <w:keepLines/>
            </w:pPr>
            <w:r w:rsidRPr="00612923">
              <w:t>75%</w:t>
            </w:r>
          </w:p>
        </w:tc>
        <w:tc>
          <w:tcPr>
            <w:tcW w:w="1530" w:type="dxa"/>
            <w:shd w:val="clear" w:color="auto" w:fill="auto"/>
            <w:noWrap/>
            <w:vAlign w:val="center"/>
            <w:hideMark/>
          </w:tcPr>
          <w:p w:rsidR="00FD127A" w:rsidRPr="00612923" w:rsidRDefault="00FD127A" w:rsidP="00254844">
            <w:pPr>
              <w:pStyle w:val="TableText"/>
              <w:keepNext/>
              <w:keepLines/>
            </w:pPr>
            <w:r w:rsidRPr="00612923">
              <w:t>8%</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Sierra</w:t>
            </w:r>
          </w:p>
        </w:tc>
        <w:tc>
          <w:tcPr>
            <w:tcW w:w="1620" w:type="dxa"/>
            <w:shd w:val="clear" w:color="auto" w:fill="auto"/>
            <w:noWrap/>
            <w:vAlign w:val="center"/>
            <w:hideMark/>
          </w:tcPr>
          <w:p w:rsidR="00FD127A" w:rsidRPr="00612923" w:rsidRDefault="00FD127A" w:rsidP="00254844">
            <w:pPr>
              <w:pStyle w:val="TableText"/>
              <w:keepNext/>
              <w:keepLines/>
            </w:pPr>
            <w:r w:rsidRPr="00612923">
              <w:t>78%</w:t>
            </w:r>
          </w:p>
        </w:tc>
        <w:tc>
          <w:tcPr>
            <w:tcW w:w="1530" w:type="dxa"/>
            <w:shd w:val="clear" w:color="auto" w:fill="auto"/>
            <w:noWrap/>
            <w:vAlign w:val="center"/>
            <w:hideMark/>
          </w:tcPr>
          <w:p w:rsidR="00FD127A" w:rsidRPr="00612923" w:rsidRDefault="00FD127A" w:rsidP="00254844">
            <w:pPr>
              <w:pStyle w:val="TableText"/>
              <w:keepNext/>
              <w:keepLines/>
            </w:pPr>
            <w:r w:rsidRPr="00612923">
              <w:t>9%</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Next/>
              <w:keepLines/>
            </w:pPr>
          </w:p>
        </w:tc>
        <w:tc>
          <w:tcPr>
            <w:tcW w:w="2115" w:type="dxa"/>
            <w:shd w:val="clear" w:color="auto" w:fill="auto"/>
            <w:noWrap/>
            <w:vAlign w:val="center"/>
            <w:hideMark/>
          </w:tcPr>
          <w:p w:rsidR="00FD127A" w:rsidRPr="00612923" w:rsidRDefault="00FD127A" w:rsidP="00254844">
            <w:pPr>
              <w:pStyle w:val="TableText"/>
              <w:keepNext/>
              <w:keepLines/>
            </w:pPr>
            <w:r w:rsidRPr="00612923">
              <w:t>Stockton</w:t>
            </w:r>
          </w:p>
        </w:tc>
        <w:tc>
          <w:tcPr>
            <w:tcW w:w="1620" w:type="dxa"/>
            <w:shd w:val="clear" w:color="auto" w:fill="auto"/>
            <w:noWrap/>
            <w:vAlign w:val="center"/>
            <w:hideMark/>
          </w:tcPr>
          <w:p w:rsidR="00FD127A" w:rsidRPr="00612923" w:rsidRDefault="00FD127A" w:rsidP="00254844">
            <w:pPr>
              <w:pStyle w:val="TableText"/>
              <w:keepNext/>
              <w:keepLines/>
            </w:pPr>
            <w:r w:rsidRPr="00612923">
              <w:t>79%</w:t>
            </w:r>
          </w:p>
        </w:tc>
        <w:tc>
          <w:tcPr>
            <w:tcW w:w="1530" w:type="dxa"/>
            <w:shd w:val="clear" w:color="auto" w:fill="auto"/>
            <w:noWrap/>
            <w:vAlign w:val="center"/>
            <w:hideMark/>
          </w:tcPr>
          <w:p w:rsidR="00FD127A" w:rsidRPr="00612923" w:rsidRDefault="00FD127A" w:rsidP="00254844">
            <w:pPr>
              <w:pStyle w:val="TableText"/>
              <w:keepNext/>
              <w:keepLines/>
            </w:pPr>
            <w:r w:rsidRPr="00612923">
              <w:t>14%</w:t>
            </w:r>
          </w:p>
        </w:tc>
      </w:tr>
      <w:tr w:rsidR="00FD127A" w:rsidRPr="00612923" w:rsidTr="00251679">
        <w:trPr>
          <w:trHeight w:val="300"/>
          <w:jc w:val="center"/>
        </w:trPr>
        <w:tc>
          <w:tcPr>
            <w:tcW w:w="1635" w:type="dxa"/>
            <w:vMerge/>
            <w:vAlign w:val="center"/>
            <w:hideMark/>
          </w:tcPr>
          <w:p w:rsidR="00FD127A" w:rsidRPr="00612923" w:rsidRDefault="00FD127A" w:rsidP="00254844">
            <w:pPr>
              <w:pStyle w:val="TableText"/>
              <w:keepLines/>
            </w:pPr>
          </w:p>
        </w:tc>
        <w:tc>
          <w:tcPr>
            <w:tcW w:w="2115" w:type="dxa"/>
            <w:shd w:val="clear" w:color="auto" w:fill="auto"/>
            <w:noWrap/>
            <w:vAlign w:val="center"/>
            <w:hideMark/>
          </w:tcPr>
          <w:p w:rsidR="00FD127A" w:rsidRPr="00612923" w:rsidRDefault="00FD127A" w:rsidP="00254844">
            <w:pPr>
              <w:pStyle w:val="TableText"/>
              <w:keepLines/>
              <w:rPr>
                <w:b/>
                <w:bCs/>
              </w:rPr>
            </w:pPr>
            <w:r w:rsidRPr="00612923">
              <w:rPr>
                <w:b/>
                <w:bCs/>
              </w:rPr>
              <w:t>Total</w:t>
            </w:r>
          </w:p>
        </w:tc>
        <w:tc>
          <w:tcPr>
            <w:tcW w:w="1620" w:type="dxa"/>
            <w:shd w:val="clear" w:color="auto" w:fill="auto"/>
            <w:noWrap/>
            <w:vAlign w:val="center"/>
            <w:hideMark/>
          </w:tcPr>
          <w:p w:rsidR="00FD127A" w:rsidRPr="00612923" w:rsidRDefault="00FD127A" w:rsidP="00254844">
            <w:pPr>
              <w:pStyle w:val="TableText"/>
              <w:keepLines/>
              <w:rPr>
                <w:b/>
                <w:bCs/>
              </w:rPr>
            </w:pPr>
            <w:r w:rsidRPr="00612923">
              <w:rPr>
                <w:b/>
                <w:bCs/>
              </w:rPr>
              <w:t>69%</w:t>
            </w:r>
          </w:p>
        </w:tc>
        <w:tc>
          <w:tcPr>
            <w:tcW w:w="1530" w:type="dxa"/>
            <w:shd w:val="clear" w:color="auto" w:fill="auto"/>
            <w:noWrap/>
            <w:vAlign w:val="center"/>
            <w:hideMark/>
          </w:tcPr>
          <w:p w:rsidR="00FD127A" w:rsidRPr="00612923" w:rsidRDefault="00FD127A" w:rsidP="00254844">
            <w:pPr>
              <w:pStyle w:val="TableText"/>
              <w:keepLines/>
              <w:rPr>
                <w:b/>
                <w:bCs/>
              </w:rPr>
            </w:pPr>
            <w:r w:rsidRPr="00612923">
              <w:rPr>
                <w:b/>
                <w:bCs/>
              </w:rPr>
              <w:t>9%</w:t>
            </w:r>
          </w:p>
        </w:tc>
      </w:tr>
    </w:tbl>
    <w:p w:rsidR="00FD127A" w:rsidRPr="00612923" w:rsidRDefault="00FD127A" w:rsidP="00FD127A">
      <w:pPr>
        <w:pStyle w:val="BodyParaAfterTableFigure"/>
      </w:pPr>
      <w:r w:rsidRPr="00612923">
        <w:t xml:space="preserve">Table 4-11 shows the relationship between the likelihood of air conditioning ownership, temperature, CARE status, </w:t>
      </w:r>
      <w:proofErr w:type="gramStart"/>
      <w:r w:rsidRPr="00612923">
        <w:t>dual</w:t>
      </w:r>
      <w:proofErr w:type="gramEnd"/>
      <w:r w:rsidR="00251679" w:rsidRPr="00612923">
        <w:t>-</w:t>
      </w:r>
      <w:r w:rsidRPr="00612923">
        <w:t xml:space="preserve">enrollment and demand response.  Several trends are noteworthy.  First, for non-CARE customers, the percentage and absolute load reductions increase substantially with the likelihood of owning central AC.  Absolute impacts are nearly five times higher for high likelihood households than for low likelihood households.  For CARE customers, there is virtually no increase in average load impact across the lowest three categories of AC likelihood.  Then there is a significant jump from 0.04 kW in the 50-75% range to 0.14 kW in the 75-100% range.  Then there is a much larger jump to 0.46 kW among dually-enrolled customers.  </w:t>
      </w:r>
    </w:p>
    <w:p w:rsidR="00FD127A" w:rsidRPr="00612923" w:rsidRDefault="00FD127A" w:rsidP="00FD127A">
      <w:pPr>
        <w:pStyle w:val="TableFigureCaption"/>
      </w:pPr>
      <w:r w:rsidRPr="00612923">
        <w:lastRenderedPageBreak/>
        <w:t xml:space="preserve">Table 4-11: SmartRate Load Impacts by Central Air Conditioning Ownership Likelihood, </w:t>
      </w:r>
      <w:r w:rsidRPr="00612923">
        <w:br/>
        <w:t>Daily Maximum Temperature and CARE Status</w:t>
      </w:r>
    </w:p>
    <w:tbl>
      <w:tblPr>
        <w:tblW w:w="640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0"/>
        <w:gridCol w:w="2160"/>
        <w:gridCol w:w="1660"/>
        <w:gridCol w:w="1460"/>
      </w:tblGrid>
      <w:tr w:rsidR="00FD127A" w:rsidRPr="00612923" w:rsidTr="009832E2">
        <w:trPr>
          <w:trHeight w:val="525"/>
          <w:jc w:val="center"/>
        </w:trPr>
        <w:tc>
          <w:tcPr>
            <w:tcW w:w="1120" w:type="dxa"/>
            <w:tcBorders>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CARE Status</w:t>
            </w:r>
          </w:p>
        </w:tc>
        <w:tc>
          <w:tcPr>
            <w:tcW w:w="216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CAC Likelihood Bin</w:t>
            </w:r>
          </w:p>
        </w:tc>
        <w:tc>
          <w:tcPr>
            <w:tcW w:w="166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Impact (kW)</w:t>
            </w:r>
          </w:p>
        </w:tc>
        <w:tc>
          <w:tcPr>
            <w:tcW w:w="1460" w:type="dxa"/>
            <w:tcBorders>
              <w:left w:val="single" w:sz="4" w:space="0" w:color="FFFFFF" w:themeColor="background1"/>
            </w:tcBorders>
            <w:shd w:val="clear" w:color="000000" w:fill="1F497D"/>
            <w:vAlign w:val="center"/>
            <w:hideMark/>
          </w:tcPr>
          <w:p w:rsidR="00FD127A" w:rsidRPr="00612923" w:rsidRDefault="00FD127A" w:rsidP="00254844">
            <w:pPr>
              <w:pStyle w:val="TableHeader"/>
              <w:keepNext/>
            </w:pPr>
            <w:r w:rsidRPr="00612923">
              <w:t>% Impact</w:t>
            </w:r>
          </w:p>
        </w:tc>
      </w:tr>
      <w:tr w:rsidR="00FD127A" w:rsidRPr="00612923" w:rsidTr="009832E2">
        <w:trPr>
          <w:trHeight w:val="315"/>
          <w:jc w:val="center"/>
        </w:trPr>
        <w:tc>
          <w:tcPr>
            <w:tcW w:w="1120" w:type="dxa"/>
            <w:vMerge w:val="restart"/>
            <w:shd w:val="clear" w:color="auto" w:fill="auto"/>
            <w:noWrap/>
            <w:vAlign w:val="center"/>
            <w:hideMark/>
          </w:tcPr>
          <w:p w:rsidR="00FD127A" w:rsidRPr="00612923" w:rsidRDefault="00FD127A" w:rsidP="00254844">
            <w:pPr>
              <w:pStyle w:val="TableText"/>
              <w:keepNext/>
            </w:pPr>
            <w:r w:rsidRPr="00612923">
              <w:t>Non-CARE</w:t>
            </w:r>
          </w:p>
        </w:tc>
        <w:tc>
          <w:tcPr>
            <w:tcW w:w="2160" w:type="dxa"/>
            <w:shd w:val="clear" w:color="auto" w:fill="auto"/>
            <w:noWrap/>
            <w:vAlign w:val="center"/>
            <w:hideMark/>
          </w:tcPr>
          <w:p w:rsidR="00FD127A" w:rsidRPr="00612923" w:rsidRDefault="00FD127A" w:rsidP="00254844">
            <w:pPr>
              <w:pStyle w:val="TableText"/>
              <w:keepNext/>
            </w:pPr>
            <w:r w:rsidRPr="00612923">
              <w:t>0-25%</w:t>
            </w:r>
          </w:p>
        </w:tc>
        <w:tc>
          <w:tcPr>
            <w:tcW w:w="1660" w:type="dxa"/>
            <w:shd w:val="clear" w:color="auto" w:fill="auto"/>
            <w:noWrap/>
            <w:vAlign w:val="center"/>
            <w:hideMark/>
          </w:tcPr>
          <w:p w:rsidR="00FD127A" w:rsidRPr="00612923" w:rsidRDefault="00FD127A" w:rsidP="00254844">
            <w:pPr>
              <w:pStyle w:val="TableText"/>
              <w:keepNext/>
            </w:pPr>
            <w:r w:rsidRPr="00612923">
              <w:t>0.09</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13%</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25-50%</w:t>
            </w:r>
          </w:p>
        </w:tc>
        <w:tc>
          <w:tcPr>
            <w:tcW w:w="1660" w:type="dxa"/>
            <w:shd w:val="clear" w:color="auto" w:fill="auto"/>
            <w:noWrap/>
            <w:vAlign w:val="center"/>
            <w:hideMark/>
          </w:tcPr>
          <w:p w:rsidR="00FD127A" w:rsidRPr="00612923" w:rsidRDefault="00FD127A" w:rsidP="00254844">
            <w:pPr>
              <w:pStyle w:val="TableText"/>
              <w:keepNext/>
            </w:pPr>
            <w:r w:rsidRPr="00612923">
              <w:t>0.09</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12%</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50-75%</w:t>
            </w:r>
          </w:p>
        </w:tc>
        <w:tc>
          <w:tcPr>
            <w:tcW w:w="1660" w:type="dxa"/>
            <w:shd w:val="clear" w:color="auto" w:fill="auto"/>
            <w:noWrap/>
            <w:vAlign w:val="center"/>
            <w:hideMark/>
          </w:tcPr>
          <w:p w:rsidR="00FD127A" w:rsidRPr="00612923" w:rsidRDefault="00FD127A" w:rsidP="00254844">
            <w:pPr>
              <w:pStyle w:val="TableText"/>
              <w:keepNext/>
            </w:pPr>
            <w:r w:rsidRPr="00612923">
              <w:t>0.22</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19%</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75-100%</w:t>
            </w:r>
          </w:p>
        </w:tc>
        <w:tc>
          <w:tcPr>
            <w:tcW w:w="1660" w:type="dxa"/>
            <w:shd w:val="clear" w:color="auto" w:fill="auto"/>
            <w:noWrap/>
            <w:vAlign w:val="center"/>
            <w:hideMark/>
          </w:tcPr>
          <w:p w:rsidR="00FD127A" w:rsidRPr="00612923" w:rsidRDefault="00FD127A" w:rsidP="00254844">
            <w:pPr>
              <w:pStyle w:val="TableText"/>
              <w:keepNext/>
            </w:pPr>
            <w:r w:rsidRPr="00612923">
              <w:t>0.48</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20%</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Dually Enrolled</w:t>
            </w:r>
          </w:p>
        </w:tc>
        <w:tc>
          <w:tcPr>
            <w:tcW w:w="1660" w:type="dxa"/>
            <w:shd w:val="clear" w:color="auto" w:fill="auto"/>
            <w:noWrap/>
            <w:vAlign w:val="center"/>
            <w:hideMark/>
          </w:tcPr>
          <w:p w:rsidR="00FD127A" w:rsidRPr="00612923" w:rsidRDefault="00FD127A" w:rsidP="00254844">
            <w:pPr>
              <w:pStyle w:val="TableText"/>
              <w:keepNext/>
            </w:pPr>
            <w:r w:rsidRPr="00612923">
              <w:t>0.56</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28%</w:t>
            </w:r>
          </w:p>
        </w:tc>
      </w:tr>
      <w:tr w:rsidR="00FD127A" w:rsidRPr="00612923" w:rsidTr="009832E2">
        <w:trPr>
          <w:trHeight w:val="315"/>
          <w:jc w:val="center"/>
        </w:trPr>
        <w:tc>
          <w:tcPr>
            <w:tcW w:w="1120" w:type="dxa"/>
            <w:vMerge w:val="restart"/>
            <w:shd w:val="clear" w:color="auto" w:fill="auto"/>
            <w:noWrap/>
            <w:vAlign w:val="center"/>
            <w:hideMark/>
          </w:tcPr>
          <w:p w:rsidR="00FD127A" w:rsidRPr="00612923" w:rsidRDefault="00FD127A" w:rsidP="00254844">
            <w:pPr>
              <w:pStyle w:val="TableText"/>
              <w:keepNext/>
            </w:pPr>
            <w:r w:rsidRPr="00612923">
              <w:t>CARE</w:t>
            </w:r>
          </w:p>
        </w:tc>
        <w:tc>
          <w:tcPr>
            <w:tcW w:w="2160" w:type="dxa"/>
            <w:shd w:val="clear" w:color="auto" w:fill="auto"/>
            <w:noWrap/>
            <w:vAlign w:val="center"/>
            <w:hideMark/>
          </w:tcPr>
          <w:p w:rsidR="00FD127A" w:rsidRPr="00612923" w:rsidRDefault="00FD127A" w:rsidP="00254844">
            <w:pPr>
              <w:pStyle w:val="TableText"/>
              <w:keepNext/>
            </w:pPr>
            <w:r w:rsidRPr="00612923">
              <w:t>0-25%</w:t>
            </w:r>
          </w:p>
        </w:tc>
        <w:tc>
          <w:tcPr>
            <w:tcW w:w="1660" w:type="dxa"/>
            <w:shd w:val="clear" w:color="auto" w:fill="auto"/>
            <w:noWrap/>
            <w:vAlign w:val="center"/>
            <w:hideMark/>
          </w:tcPr>
          <w:p w:rsidR="00FD127A" w:rsidRPr="00612923" w:rsidRDefault="00FD127A" w:rsidP="00254844">
            <w:pPr>
              <w:pStyle w:val="TableText"/>
              <w:keepNext/>
            </w:pPr>
            <w:r w:rsidRPr="00612923">
              <w:t>0.03</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5%</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25-50%</w:t>
            </w:r>
          </w:p>
        </w:tc>
        <w:tc>
          <w:tcPr>
            <w:tcW w:w="1660" w:type="dxa"/>
            <w:shd w:val="clear" w:color="auto" w:fill="auto"/>
            <w:noWrap/>
            <w:vAlign w:val="center"/>
            <w:hideMark/>
          </w:tcPr>
          <w:p w:rsidR="00FD127A" w:rsidRPr="00612923" w:rsidRDefault="00FD127A" w:rsidP="00254844">
            <w:pPr>
              <w:pStyle w:val="TableText"/>
              <w:keepNext/>
            </w:pPr>
            <w:r w:rsidRPr="00612923">
              <w:t>0.03</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4%</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50-75%</w:t>
            </w:r>
          </w:p>
        </w:tc>
        <w:tc>
          <w:tcPr>
            <w:tcW w:w="1660" w:type="dxa"/>
            <w:shd w:val="clear" w:color="auto" w:fill="auto"/>
            <w:noWrap/>
            <w:vAlign w:val="center"/>
            <w:hideMark/>
          </w:tcPr>
          <w:p w:rsidR="00FD127A" w:rsidRPr="00612923" w:rsidRDefault="00FD127A" w:rsidP="00254844">
            <w:pPr>
              <w:pStyle w:val="TableText"/>
              <w:keepNext/>
            </w:pPr>
            <w:r w:rsidRPr="00612923">
              <w:t>0.04</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3%</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75-100%</w:t>
            </w:r>
          </w:p>
        </w:tc>
        <w:tc>
          <w:tcPr>
            <w:tcW w:w="1660" w:type="dxa"/>
            <w:shd w:val="clear" w:color="auto" w:fill="auto"/>
            <w:noWrap/>
            <w:vAlign w:val="center"/>
            <w:hideMark/>
          </w:tcPr>
          <w:p w:rsidR="00FD127A" w:rsidRPr="00612923" w:rsidRDefault="00FD127A" w:rsidP="00254844">
            <w:pPr>
              <w:pStyle w:val="TableText"/>
              <w:keepNext/>
            </w:pPr>
            <w:r w:rsidRPr="00612923">
              <w:t>0.14</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7%</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Dually Enrolled</w:t>
            </w:r>
          </w:p>
        </w:tc>
        <w:tc>
          <w:tcPr>
            <w:tcW w:w="1660" w:type="dxa"/>
            <w:shd w:val="clear" w:color="auto" w:fill="auto"/>
            <w:noWrap/>
            <w:vAlign w:val="center"/>
            <w:hideMark/>
          </w:tcPr>
          <w:p w:rsidR="00FD127A" w:rsidRPr="00612923" w:rsidRDefault="00FD127A" w:rsidP="00254844">
            <w:pPr>
              <w:pStyle w:val="TableText"/>
              <w:keepNext/>
            </w:pPr>
            <w:r w:rsidRPr="00612923">
              <w:t>0.46</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20%</w:t>
            </w:r>
          </w:p>
        </w:tc>
      </w:tr>
      <w:tr w:rsidR="00FD127A" w:rsidRPr="00612923" w:rsidTr="009832E2">
        <w:trPr>
          <w:trHeight w:val="315"/>
          <w:jc w:val="center"/>
        </w:trPr>
        <w:tc>
          <w:tcPr>
            <w:tcW w:w="1120" w:type="dxa"/>
            <w:vMerge w:val="restart"/>
            <w:shd w:val="clear" w:color="auto" w:fill="auto"/>
            <w:noWrap/>
            <w:vAlign w:val="center"/>
            <w:hideMark/>
          </w:tcPr>
          <w:p w:rsidR="00FD127A" w:rsidRPr="00612923" w:rsidRDefault="00FD127A" w:rsidP="00254844">
            <w:pPr>
              <w:pStyle w:val="TableText"/>
              <w:keepNext/>
            </w:pPr>
            <w:r w:rsidRPr="00612923">
              <w:t>All</w:t>
            </w:r>
          </w:p>
        </w:tc>
        <w:tc>
          <w:tcPr>
            <w:tcW w:w="2160" w:type="dxa"/>
            <w:shd w:val="clear" w:color="auto" w:fill="auto"/>
            <w:noWrap/>
            <w:vAlign w:val="center"/>
            <w:hideMark/>
          </w:tcPr>
          <w:p w:rsidR="00FD127A" w:rsidRPr="00612923" w:rsidRDefault="00FD127A" w:rsidP="00254844">
            <w:pPr>
              <w:pStyle w:val="TableText"/>
              <w:keepNext/>
            </w:pPr>
            <w:r w:rsidRPr="00612923">
              <w:t>0-25%</w:t>
            </w:r>
          </w:p>
        </w:tc>
        <w:tc>
          <w:tcPr>
            <w:tcW w:w="1660" w:type="dxa"/>
            <w:shd w:val="clear" w:color="auto" w:fill="auto"/>
            <w:noWrap/>
            <w:vAlign w:val="center"/>
            <w:hideMark/>
          </w:tcPr>
          <w:p w:rsidR="00FD127A" w:rsidRPr="00612923" w:rsidRDefault="00FD127A" w:rsidP="00254844">
            <w:pPr>
              <w:pStyle w:val="TableText"/>
              <w:keepNext/>
            </w:pPr>
            <w:r w:rsidRPr="00612923">
              <w:t>0.07</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11%</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25-50%</w:t>
            </w:r>
          </w:p>
        </w:tc>
        <w:tc>
          <w:tcPr>
            <w:tcW w:w="1660" w:type="dxa"/>
            <w:shd w:val="clear" w:color="auto" w:fill="auto"/>
            <w:noWrap/>
            <w:vAlign w:val="center"/>
            <w:hideMark/>
          </w:tcPr>
          <w:p w:rsidR="00FD127A" w:rsidRPr="00612923" w:rsidRDefault="00FD127A" w:rsidP="00254844">
            <w:pPr>
              <w:pStyle w:val="TableText"/>
              <w:keepNext/>
            </w:pPr>
            <w:r w:rsidRPr="00612923">
              <w:t>0.07</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8%</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50-75%</w:t>
            </w:r>
          </w:p>
        </w:tc>
        <w:tc>
          <w:tcPr>
            <w:tcW w:w="1660" w:type="dxa"/>
            <w:shd w:val="clear" w:color="auto" w:fill="auto"/>
            <w:noWrap/>
            <w:vAlign w:val="center"/>
            <w:hideMark/>
          </w:tcPr>
          <w:p w:rsidR="00FD127A" w:rsidRPr="00612923" w:rsidRDefault="00FD127A" w:rsidP="00254844">
            <w:pPr>
              <w:pStyle w:val="TableText"/>
              <w:keepNext/>
            </w:pPr>
            <w:r w:rsidRPr="00612923">
              <w:t>0.13</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10%</w:t>
            </w:r>
          </w:p>
        </w:tc>
      </w:tr>
      <w:tr w:rsidR="00FD127A" w:rsidRPr="00612923" w:rsidTr="009832E2">
        <w:trPr>
          <w:trHeight w:val="315"/>
          <w:jc w:val="center"/>
        </w:trPr>
        <w:tc>
          <w:tcPr>
            <w:tcW w:w="1120" w:type="dxa"/>
            <w:vMerge/>
            <w:vAlign w:val="center"/>
            <w:hideMark/>
          </w:tcPr>
          <w:p w:rsidR="00FD127A" w:rsidRPr="00612923" w:rsidRDefault="00FD127A" w:rsidP="00254844">
            <w:pPr>
              <w:pStyle w:val="TableText"/>
              <w:keepNext/>
            </w:pPr>
          </w:p>
        </w:tc>
        <w:tc>
          <w:tcPr>
            <w:tcW w:w="2160" w:type="dxa"/>
            <w:shd w:val="clear" w:color="auto" w:fill="auto"/>
            <w:noWrap/>
            <w:vAlign w:val="center"/>
            <w:hideMark/>
          </w:tcPr>
          <w:p w:rsidR="00FD127A" w:rsidRPr="00612923" w:rsidRDefault="00FD127A" w:rsidP="00254844">
            <w:pPr>
              <w:pStyle w:val="TableText"/>
              <w:keepNext/>
            </w:pPr>
            <w:r w:rsidRPr="00612923">
              <w:t>75-100%</w:t>
            </w:r>
          </w:p>
        </w:tc>
        <w:tc>
          <w:tcPr>
            <w:tcW w:w="1660" w:type="dxa"/>
            <w:shd w:val="clear" w:color="auto" w:fill="auto"/>
            <w:noWrap/>
            <w:vAlign w:val="center"/>
            <w:hideMark/>
          </w:tcPr>
          <w:p w:rsidR="00FD127A" w:rsidRPr="00612923" w:rsidRDefault="00FD127A" w:rsidP="00254844">
            <w:pPr>
              <w:pStyle w:val="TableText"/>
              <w:keepNext/>
            </w:pPr>
            <w:r w:rsidRPr="00612923">
              <w:t>0.31</w:t>
            </w:r>
          </w:p>
        </w:tc>
        <w:tc>
          <w:tcPr>
            <w:tcW w:w="1460" w:type="dxa"/>
            <w:shd w:val="clear" w:color="auto" w:fill="auto"/>
            <w:noWrap/>
            <w:vAlign w:val="center"/>
            <w:hideMark/>
          </w:tcPr>
          <w:p w:rsidR="00FD127A" w:rsidRPr="00612923" w:rsidRDefault="00FD127A" w:rsidP="00254844">
            <w:pPr>
              <w:pStyle w:val="TableText"/>
              <w:keepNext/>
              <w:rPr>
                <w:rFonts w:cs="Calibri"/>
              </w:rPr>
            </w:pPr>
            <w:r w:rsidRPr="00612923">
              <w:t>13%</w:t>
            </w:r>
          </w:p>
        </w:tc>
      </w:tr>
      <w:tr w:rsidR="00FD127A" w:rsidRPr="00612923" w:rsidTr="009832E2">
        <w:trPr>
          <w:trHeight w:val="315"/>
          <w:jc w:val="center"/>
        </w:trPr>
        <w:tc>
          <w:tcPr>
            <w:tcW w:w="1120" w:type="dxa"/>
            <w:vMerge/>
            <w:vAlign w:val="center"/>
            <w:hideMark/>
          </w:tcPr>
          <w:p w:rsidR="00FD127A" w:rsidRPr="00612923" w:rsidRDefault="00FD127A" w:rsidP="009832E2">
            <w:pPr>
              <w:pStyle w:val="TableText"/>
            </w:pPr>
          </w:p>
        </w:tc>
        <w:tc>
          <w:tcPr>
            <w:tcW w:w="2160" w:type="dxa"/>
            <w:shd w:val="clear" w:color="auto" w:fill="auto"/>
            <w:noWrap/>
            <w:vAlign w:val="center"/>
            <w:hideMark/>
          </w:tcPr>
          <w:p w:rsidR="00FD127A" w:rsidRPr="00612923" w:rsidRDefault="00FD127A" w:rsidP="009832E2">
            <w:pPr>
              <w:pStyle w:val="TableText"/>
            </w:pPr>
            <w:r w:rsidRPr="00612923">
              <w:t>Dually Enrolled</w:t>
            </w:r>
          </w:p>
        </w:tc>
        <w:tc>
          <w:tcPr>
            <w:tcW w:w="1660" w:type="dxa"/>
            <w:shd w:val="clear" w:color="auto" w:fill="auto"/>
            <w:noWrap/>
            <w:vAlign w:val="center"/>
            <w:hideMark/>
          </w:tcPr>
          <w:p w:rsidR="00FD127A" w:rsidRPr="00612923" w:rsidRDefault="00FD127A" w:rsidP="009832E2">
            <w:pPr>
              <w:pStyle w:val="TableText"/>
            </w:pPr>
            <w:r w:rsidRPr="00612923">
              <w:t>0.52</w:t>
            </w:r>
          </w:p>
        </w:tc>
        <w:tc>
          <w:tcPr>
            <w:tcW w:w="1460" w:type="dxa"/>
            <w:shd w:val="clear" w:color="auto" w:fill="auto"/>
            <w:noWrap/>
            <w:vAlign w:val="center"/>
            <w:hideMark/>
          </w:tcPr>
          <w:p w:rsidR="00FD127A" w:rsidRPr="00612923" w:rsidRDefault="00FD127A" w:rsidP="009832E2">
            <w:pPr>
              <w:pStyle w:val="TableText"/>
              <w:rPr>
                <w:rFonts w:cs="Calibri"/>
              </w:rPr>
            </w:pPr>
            <w:r w:rsidRPr="00612923">
              <w:t>25%</w:t>
            </w:r>
          </w:p>
        </w:tc>
      </w:tr>
    </w:tbl>
    <w:p w:rsidR="00FD127A" w:rsidRPr="00612923" w:rsidRDefault="00FD127A" w:rsidP="009832E2">
      <w:pPr>
        <w:pStyle w:val="Heading3"/>
        <w:spacing w:before="360"/>
        <w:ind w:left="1354" w:hanging="994"/>
      </w:pPr>
      <w:bookmarkStart w:id="48" w:name="_Toc349193889"/>
      <w:bookmarkStart w:id="49" w:name="_Toc352567304"/>
      <w:r w:rsidRPr="00612923">
        <w:t>Characteristics of High Responders</w:t>
      </w:r>
      <w:bookmarkEnd w:id="48"/>
      <w:bookmarkEnd w:id="49"/>
    </w:p>
    <w:p w:rsidR="00FD127A" w:rsidRPr="00612923" w:rsidRDefault="00FD127A" w:rsidP="00FD127A">
      <w:pPr>
        <w:pStyle w:val="BodyParagraph"/>
      </w:pPr>
      <w:r w:rsidRPr="00612923">
        <w:t xml:space="preserve">As a complement to the previous section where average load impacts were examined across different customer segments, this section specifically identifies customers who appear to be high responders (i.e., customers who provide large impacts) and examines their characteristics.  This necessarily involves examining impact estimates for individual customers from individual customer regressions.  However, when examined at the individual customer level, these impact estimates include error or noise.  This is an unavoidable aspect of regression methodology.  If this was not the case, then it would not be necessary to use such large sets of customers for analysis.  The fundamental assumption underlying all the analyses in this report is that these errors tend to cancel each other out when averaged over thousands of customers.  There is a substantial body of evidence built up in both the program evaluation literature and the statistics literature over many years that this assumption holds up well.  If this were not true, estimated program results would deviate unpredictably from year to year and there would be no value to these evaluations.  Instead, results tend to vary mildly and usually due to identifiable causes.  However, this is true on an aggregate basis.  Without further investigation, it is not clear how large the errors are on an individual customer basis.  </w:t>
      </w:r>
    </w:p>
    <w:p w:rsidR="00FD127A" w:rsidRPr="00612923" w:rsidRDefault="00FD127A" w:rsidP="00FD127A">
      <w:pPr>
        <w:pStyle w:val="BodyParagraph"/>
      </w:pPr>
      <w:r w:rsidRPr="00612923">
        <w:t>In order to assess how much noise there is around estimated customer-level impacts, the individual customer regressions were also run on the matched control group.  As discussed above, these customers have very similar usage profiles to the SmartRate customer population and did not experience any events.  Therefore, regression results for this group are a measure of the noise in the</w:t>
      </w:r>
      <w:r w:rsidR="00251679" w:rsidRPr="00612923">
        <w:t> </w:t>
      </w:r>
      <w:r w:rsidRPr="00612923">
        <w:t>individual customer regression process for the SmartRate group.</w:t>
      </w:r>
    </w:p>
    <w:p w:rsidR="00FD127A" w:rsidRPr="00612923" w:rsidRDefault="00FD127A" w:rsidP="00FD127A">
      <w:pPr>
        <w:pStyle w:val="BodyParagraph"/>
      </w:pPr>
      <w:r w:rsidRPr="00612923">
        <w:lastRenderedPageBreak/>
        <w:t>Figure 4-4 shows two histograms.  For the SmartRate-only group it shows the distribution of average event impact estimates across customers.  For the matched control group it shows the distribution of average estimated coefficients for indicator variables that only equal one on SmartDays and over the SmartRate event hours.  These are the same variables used to estimate the coefficients that yield estimated event impacts for SmartRate customers, but for the matched control group, nothing happened at these times, which means that for every customer, the true effect is zero.  Therefore</w:t>
      </w:r>
      <w:r w:rsidR="00251679" w:rsidRPr="00612923">
        <w:t>,</w:t>
      </w:r>
      <w:r w:rsidRPr="00612923">
        <w:t xml:space="preserve"> whenever the individual customer regression model produces a non-zero estimate for the matched control group, it is actually just a measure of the noise in the process.  The histogram for the matched control group is a histogram of the noise in regression estimates for this group.  It is assumed that because the customers in this group are similar to SmartRate customers across all observable characteristics, that the level of noise in this group is similar to the level of noise in the SmartRate group.</w:t>
      </w:r>
    </w:p>
    <w:p w:rsidR="00FD127A" w:rsidRPr="00612923" w:rsidRDefault="00FD127A" w:rsidP="00FD127A">
      <w:pPr>
        <w:pStyle w:val="BodyParagraph"/>
      </w:pPr>
      <w:r w:rsidRPr="00612923">
        <w:t>The blue columns show the distribution of estimated impacts for the SmartRate population.  The median impact estimate for SmartRate customers is about 0.08 kW and the mean (or average) impact for SmartRate customers is 0.2</w:t>
      </w:r>
      <w:r w:rsidR="00106598">
        <w:t>3</w:t>
      </w:r>
      <w:r w:rsidRPr="00612923">
        <w:t xml:space="preserve"> kW, the same as was reported above when using individual customer regressions.  The transparent columns outlined in black show the distribution of impacts for control customers.  The median impact and mean impact estimates for these customers are very close to zero.  These results makes sense, and show that, on average, SmartRate customers respond to events and control customers do not.  What is more useful from this figure, however, is the distribution of impact estimates.  Even though control customers have not reacted to events, a substantial fraction of them have estimated impacts that are far from zero.  Averaged over the whole control group, the predictions are spot-on</w:t>
      </w:r>
      <w:r w:rsidR="00251679" w:rsidRPr="00612923">
        <w:t>—</w:t>
      </w:r>
      <w:r w:rsidRPr="00612923">
        <w:t>control customers have estimated impacts of zero.  But on a per-customer basis, impact estimates vary greatly.</w:t>
      </w:r>
    </w:p>
    <w:p w:rsidR="00FD127A" w:rsidRPr="00612923" w:rsidRDefault="00FD127A" w:rsidP="00FD127A">
      <w:pPr>
        <w:pStyle w:val="BodyParagraph"/>
      </w:pPr>
      <w:r w:rsidRPr="00612923">
        <w:t>This noise arises because customer usage does not follow a precise function of temperature.  Customers have daily routines that vary for many reasons other than temperature.  The regression coefficient estimate of SmartRate impact is an average of the usage observed on SmartDays subtracted from an average of the usage observed on non-event days with similar conditions.  The regression specification determines the exact form that each average takes, but it remains a weighted average of these sets of data.  If a customer happens to have low use on the hot, non-event days, perhaps because he or she was on vacation for several of them, then the regression will produce a small, or even negative, estimated effect of SmartRate for that customer, even if the customer responded to the event.  Conversely, if the customer had high usage on the hot, non-event days, but</w:t>
      </w:r>
      <w:r w:rsidR="00251679" w:rsidRPr="00612923">
        <w:t> </w:t>
      </w:r>
      <w:r w:rsidRPr="00612923">
        <w:t>was on vacation for several of the SmartDays, then the regression will produce a large estimated effect, even though the customer may have done nothing to respond to SmartRate.  Without an unfeasibly detailed knowledge of customer behavior, this situation is unavoidable.</w:t>
      </w:r>
    </w:p>
    <w:p w:rsidR="00FD127A" w:rsidRPr="00612923" w:rsidRDefault="00FD127A" w:rsidP="009832E2">
      <w:pPr>
        <w:pStyle w:val="TableFigureCaption"/>
      </w:pPr>
      <w:r w:rsidRPr="00612923">
        <w:lastRenderedPageBreak/>
        <w:t xml:space="preserve">Figure 4-4: Distribution of Average Estimated Coefficients </w:t>
      </w:r>
      <w:r w:rsidR="009832E2" w:rsidRPr="00612923">
        <w:br/>
      </w:r>
      <w:proofErr w:type="gramStart"/>
      <w:r w:rsidRPr="00612923">
        <w:t>For</w:t>
      </w:r>
      <w:proofErr w:type="gramEnd"/>
      <w:r w:rsidRPr="00612923">
        <w:t xml:space="preserve"> SmartRate-</w:t>
      </w:r>
      <w:r w:rsidR="00251679" w:rsidRPr="00612923">
        <w:t>o</w:t>
      </w:r>
      <w:r w:rsidRPr="00612923">
        <w:t>nly and Control Group Customers</w:t>
      </w:r>
    </w:p>
    <w:p w:rsidR="00FD127A" w:rsidRPr="00612923" w:rsidRDefault="00FD127A" w:rsidP="009832E2">
      <w:pPr>
        <w:pStyle w:val="BodyParagraph"/>
        <w:jc w:val="center"/>
      </w:pPr>
      <w:r w:rsidRPr="00612923">
        <w:rPr>
          <w:noProof/>
        </w:rPr>
        <w:drawing>
          <wp:inline distT="0" distB="0" distL="0" distR="0">
            <wp:extent cx="4676775" cy="3423445"/>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78369" cy="3424612"/>
                    </a:xfrm>
                    <a:prstGeom prst="rect">
                      <a:avLst/>
                    </a:prstGeom>
                    <a:noFill/>
                    <a:ln>
                      <a:noFill/>
                    </a:ln>
                  </pic:spPr>
                </pic:pic>
              </a:graphicData>
            </a:graphic>
          </wp:inline>
        </w:drawing>
      </w:r>
    </w:p>
    <w:p w:rsidR="00FD127A" w:rsidRPr="00612923" w:rsidRDefault="00FD127A" w:rsidP="009832E2">
      <w:pPr>
        <w:pStyle w:val="BodyParaAfterTableFigure"/>
      </w:pPr>
      <w:r w:rsidRPr="00612923">
        <w:t>Figure 4-5 shows the same two histograms for dually-enrolled customers, and the same basic points apply.  Although in this case, the distribution of estimates for dually-enrolled customers is more different from the distribution for matched control customers than in the SmartRate-only case, and the</w:t>
      </w:r>
      <w:r w:rsidR="00251679" w:rsidRPr="00612923">
        <w:t> </w:t>
      </w:r>
      <w:r w:rsidRPr="00612923">
        <w:t xml:space="preserve">difference suggests stronger event response among dually-enrolled customers.  This makes sense given that we have already established that dually-enrolled customers provide much larger average impacts.  There is still a large amount of noise in the estimates however and the point that we cannot take individual estimates at face value remains true.  </w:t>
      </w:r>
    </w:p>
    <w:p w:rsidR="009832E2" w:rsidRPr="00612923" w:rsidRDefault="00FD127A" w:rsidP="009832E2">
      <w:pPr>
        <w:pStyle w:val="TableFigureCaption"/>
        <w:spacing w:after="0"/>
      </w:pPr>
      <w:r w:rsidRPr="00612923">
        <w:lastRenderedPageBreak/>
        <w:t xml:space="preserve">Figure 4-5: Distribution of Average Estimated Coefficients </w:t>
      </w:r>
      <w:r w:rsidR="009832E2" w:rsidRPr="00612923">
        <w:br/>
      </w:r>
      <w:proofErr w:type="gramStart"/>
      <w:r w:rsidRPr="00612923">
        <w:t>For</w:t>
      </w:r>
      <w:proofErr w:type="gramEnd"/>
      <w:r w:rsidRPr="00612923">
        <w:t xml:space="preserve"> Dually</w:t>
      </w:r>
      <w:r w:rsidR="00FB4444" w:rsidRPr="00612923">
        <w:t>-e</w:t>
      </w:r>
      <w:r w:rsidRPr="00612923">
        <w:t>nrolled Customers and Control Group Customers</w:t>
      </w:r>
    </w:p>
    <w:p w:rsidR="009832E2" w:rsidRPr="00612923" w:rsidRDefault="00FD127A" w:rsidP="009832E2">
      <w:pPr>
        <w:pStyle w:val="BodyParagraph"/>
        <w:jc w:val="center"/>
      </w:pPr>
      <w:r w:rsidRPr="00612923">
        <w:rPr>
          <w:noProof/>
        </w:rPr>
        <w:drawing>
          <wp:inline distT="0" distB="0" distL="0" distR="0">
            <wp:extent cx="4629150" cy="338858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3960" cy="3392104"/>
                    </a:xfrm>
                    <a:prstGeom prst="rect">
                      <a:avLst/>
                    </a:prstGeom>
                    <a:noFill/>
                    <a:ln>
                      <a:noFill/>
                    </a:ln>
                  </pic:spPr>
                </pic:pic>
              </a:graphicData>
            </a:graphic>
          </wp:inline>
        </w:drawing>
      </w:r>
    </w:p>
    <w:p w:rsidR="00FD127A" w:rsidRPr="00612923" w:rsidRDefault="00FD127A" w:rsidP="009832E2">
      <w:pPr>
        <w:pStyle w:val="BodyParaAfterTableFigure"/>
      </w:pPr>
      <w:r w:rsidRPr="00612923">
        <w:t>Within each figure, comparing the two distributions to one another provides insight into which SmartRate customers’ impact estimates appear to provide strong evidence of response to SmartDays and those that are more likely to be dominated by noise.  The distribution of control group impact estimates serves as an estimate of the distribution of noise in the SmartRate group estimates.  Assuming that the distribution of true impacts and the distribution of noise are independent (which is</w:t>
      </w:r>
      <w:r w:rsidR="008702A8" w:rsidRPr="00612923">
        <w:t> </w:t>
      </w:r>
      <w:r w:rsidRPr="00612923">
        <w:t>a strong assumption, but necessary to make useful inferences about high responders), probability assessments can be made about the true impact for SmartRate customers, given their estimated impact.  For example, among SmartRate</w:t>
      </w:r>
      <w:r w:rsidR="00620BC7" w:rsidRPr="00612923">
        <w:t>-only</w:t>
      </w:r>
      <w:r w:rsidRPr="00612923">
        <w:t xml:space="preserve"> customers with estimated impact values above 0.86 kW, there is a 95% chance or greater that each customer’s true impact is larger than 0.2</w:t>
      </w:r>
      <w:r w:rsidR="00106598">
        <w:t>3</w:t>
      </w:r>
      <w:r w:rsidRPr="00612923">
        <w:t xml:space="preserve"> kW, which is the overall mean.  That is, customers with impact estimates greater than or equal to 0.86 kW have at least a 95% probability of having impacts greater than the mean.  There are about 2,550 customers (12.44% of the SmartRate population) for which this is true.</w:t>
      </w:r>
      <w:r w:rsidRPr="00612923">
        <w:rPr>
          <w:rStyle w:val="FootnoteReference"/>
        </w:rPr>
        <w:footnoteReference w:id="22"/>
      </w:r>
      <w:r w:rsidRPr="00612923">
        <w:t xml:space="preserve">  This group is labeled high responders.  In order to understand some of the drivers of load impacts, the rest of this section will explore the demographics of this group of high responders.</w:t>
      </w:r>
    </w:p>
    <w:p w:rsidR="00620BC7" w:rsidRPr="00612923" w:rsidRDefault="00620BC7" w:rsidP="00620BC7">
      <w:pPr>
        <w:pStyle w:val="BodyParagraph"/>
      </w:pPr>
      <w:r w:rsidRPr="00612923">
        <w:t>Using the same logic, for dually-Enrolled SmartRate customers with estimated impact values above 1.33 kW, there is a 95% chance or greater that each customer’s true impact is larger than 0.5</w:t>
      </w:r>
      <w:r w:rsidR="00106598">
        <w:t>3</w:t>
      </w:r>
      <w:r w:rsidRPr="00612923">
        <w:t xml:space="preserve"> kW, which is the overall mean.</w:t>
      </w:r>
    </w:p>
    <w:p w:rsidR="00FD127A" w:rsidRPr="00612923" w:rsidRDefault="00FD127A" w:rsidP="00FD127A">
      <w:pPr>
        <w:pStyle w:val="BodyParagraph"/>
      </w:pPr>
      <w:r w:rsidRPr="00612923">
        <w:t xml:space="preserve">Tables 4-12 through 4-22 show the distribution of high responding customers across a variety of categories compared to the whole SmartRate population.  The final column of each table shows the percentage point difference between high responders and the full SmartRate population for that </w:t>
      </w:r>
      <w:r w:rsidRPr="00612923">
        <w:lastRenderedPageBreak/>
        <w:t>category.  Tables 4-</w:t>
      </w:r>
      <w:r w:rsidR="00A65D57">
        <w:t>12</w:t>
      </w:r>
      <w:r w:rsidR="00A65D57" w:rsidRPr="00612923">
        <w:t xml:space="preserve"> </w:t>
      </w:r>
      <w:r w:rsidRPr="00612923">
        <w:t>and 4-</w:t>
      </w:r>
      <w:r w:rsidR="00A65D57" w:rsidRPr="00612923">
        <w:t>1</w:t>
      </w:r>
      <w:r w:rsidR="00A65D57">
        <w:t>3</w:t>
      </w:r>
      <w:r w:rsidR="00A65D57" w:rsidRPr="00612923">
        <w:t xml:space="preserve"> </w:t>
      </w:r>
      <w:r w:rsidRPr="00612923">
        <w:t>show the distribution of high responders for SmartRate-only and dually-enrolled customers across PG&amp;E’s territory compared to the SmartRate population.  High responders in both groups are more likely to be located in Kern and Sierra.  Although almost a third of SmartRate-only customers live in the Greater Bay Area, only 9% of SmartRate-only high responders are located in that LCA.  These results match up well with the earlier analysis of average impacts across LCAs.</w:t>
      </w:r>
    </w:p>
    <w:p w:rsidR="00FD127A" w:rsidRPr="00612923" w:rsidRDefault="00FD127A" w:rsidP="00FD127A">
      <w:pPr>
        <w:pStyle w:val="TableFigureCaption"/>
      </w:pPr>
      <w:r w:rsidRPr="00612923">
        <w:t>Table 4-12: Distribution of SmartRate-</w:t>
      </w:r>
      <w:r w:rsidR="008702A8" w:rsidRPr="00612923">
        <w:t>o</w:t>
      </w:r>
      <w:r w:rsidRPr="00612923">
        <w:t>nly High Responders by LCA</w:t>
      </w:r>
    </w:p>
    <w:tbl>
      <w:tblPr>
        <w:tblW w:w="7140" w:type="dxa"/>
        <w:jc w:val="center"/>
        <w:tblLook w:val="04A0"/>
      </w:tblPr>
      <w:tblGrid>
        <w:gridCol w:w="1920"/>
        <w:gridCol w:w="1740"/>
        <w:gridCol w:w="1720"/>
        <w:gridCol w:w="1760"/>
      </w:tblGrid>
      <w:tr w:rsidR="00FD127A" w:rsidRPr="00612923" w:rsidTr="00FD127A">
        <w:trPr>
          <w:trHeight w:val="765"/>
          <w:jc w:val="center"/>
        </w:trPr>
        <w:tc>
          <w:tcPr>
            <w:tcW w:w="1920"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LCA</w:t>
            </w:r>
          </w:p>
        </w:tc>
        <w:tc>
          <w:tcPr>
            <w:tcW w:w="174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High Responders</w:t>
            </w:r>
          </w:p>
        </w:tc>
        <w:tc>
          <w:tcPr>
            <w:tcW w:w="172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Full Summer SmartRate Population</w:t>
            </w:r>
          </w:p>
        </w:tc>
        <w:tc>
          <w:tcPr>
            <w:tcW w:w="1760"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pPr>
            <w:r w:rsidRPr="00612923">
              <w:t>Percentage Point Difference</w:t>
            </w:r>
          </w:p>
        </w:tc>
      </w:tr>
      <w:tr w:rsidR="00FD127A" w:rsidRPr="00612923" w:rsidTr="00FD127A">
        <w:trPr>
          <w:trHeight w:val="300"/>
          <w:jc w:val="center"/>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Greater Bay Area</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9.0%</w:t>
            </w:r>
          </w:p>
        </w:tc>
        <w:tc>
          <w:tcPr>
            <w:tcW w:w="1720"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32.2%</w:t>
            </w:r>
          </w:p>
        </w:tc>
        <w:tc>
          <w:tcPr>
            <w:tcW w:w="1760"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-23.3</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Greater Fresno</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16.8%</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14.3%</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2.5</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Kern</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40.1%</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28.3%</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11.8</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Northern Coast</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0.2%</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0.6%</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-0.4</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Other</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13.9%</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12.6%</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1.3</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Sierra</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11.1%</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4.8%</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6.3</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Stockton</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8.9%</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7.1%</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1.8</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9832E2">
            <w:pPr>
              <w:pStyle w:val="TableText"/>
            </w:pPr>
            <w:r w:rsidRPr="00612923">
              <w:t>Total</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pPr>
            <w:r w:rsidRPr="00612923">
              <w:t>100.0%</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pPr>
            <w:r w:rsidRPr="00612923">
              <w:t>100.0%</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pPr>
            <w:r w:rsidRPr="00612923">
              <w:t>-</w:t>
            </w:r>
          </w:p>
        </w:tc>
      </w:tr>
    </w:tbl>
    <w:p w:rsidR="00FD127A" w:rsidRPr="00612923" w:rsidRDefault="00FD127A" w:rsidP="009832E2">
      <w:pPr>
        <w:pStyle w:val="TableFigureCaption"/>
        <w:spacing w:before="360"/>
      </w:pPr>
      <w:r w:rsidRPr="00612923">
        <w:t>Table 4-13: Distribution of Dually-</w:t>
      </w:r>
      <w:r w:rsidR="008702A8" w:rsidRPr="00612923">
        <w:t>e</w:t>
      </w:r>
      <w:r w:rsidRPr="00612923">
        <w:t>nrolled High Responders by LCA</w:t>
      </w:r>
    </w:p>
    <w:tbl>
      <w:tblPr>
        <w:tblW w:w="7128" w:type="dxa"/>
        <w:jc w:val="center"/>
        <w:tblLook w:val="04A0"/>
      </w:tblPr>
      <w:tblGrid>
        <w:gridCol w:w="1892"/>
        <w:gridCol w:w="1816"/>
        <w:gridCol w:w="1620"/>
        <w:gridCol w:w="1800"/>
      </w:tblGrid>
      <w:tr w:rsidR="00FD127A" w:rsidRPr="00612923" w:rsidTr="00FD127A">
        <w:trPr>
          <w:trHeight w:val="970"/>
          <w:jc w:val="center"/>
        </w:trPr>
        <w:tc>
          <w:tcPr>
            <w:tcW w:w="1892"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LCA</w:t>
            </w:r>
          </w:p>
        </w:tc>
        <w:tc>
          <w:tcPr>
            <w:tcW w:w="1816"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High Responders</w:t>
            </w:r>
          </w:p>
        </w:tc>
        <w:tc>
          <w:tcPr>
            <w:tcW w:w="162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Full Summer SmartRate Population</w:t>
            </w:r>
          </w:p>
        </w:tc>
        <w:tc>
          <w:tcPr>
            <w:tcW w:w="1800"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pPr>
            <w:r w:rsidRPr="00612923">
              <w:t>Percentage Point Difference</w:t>
            </w:r>
          </w:p>
        </w:tc>
      </w:tr>
      <w:tr w:rsidR="00FD127A" w:rsidRPr="00612923" w:rsidTr="00FD127A">
        <w:trPr>
          <w:trHeight w:val="300"/>
          <w:jc w:val="center"/>
        </w:trPr>
        <w:tc>
          <w:tcPr>
            <w:tcW w:w="18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Greater Bay Area</w:t>
            </w:r>
          </w:p>
        </w:tc>
        <w:tc>
          <w:tcPr>
            <w:tcW w:w="1816"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6.7%</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10.2%</w:t>
            </w:r>
          </w:p>
        </w:tc>
        <w:tc>
          <w:tcPr>
            <w:tcW w:w="1800"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-3.4</w:t>
            </w:r>
          </w:p>
        </w:tc>
      </w:tr>
      <w:tr w:rsidR="00FD127A" w:rsidRPr="00612923" w:rsidTr="00FD127A">
        <w:trPr>
          <w:trHeight w:val="300"/>
          <w:jc w:val="center"/>
        </w:trPr>
        <w:tc>
          <w:tcPr>
            <w:tcW w:w="1892"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Greater Fresno</w:t>
            </w:r>
          </w:p>
        </w:tc>
        <w:tc>
          <w:tcPr>
            <w:tcW w:w="181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19.8%</w:t>
            </w:r>
          </w:p>
        </w:tc>
        <w:tc>
          <w:tcPr>
            <w:tcW w:w="16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19.0%</w:t>
            </w:r>
          </w:p>
        </w:tc>
        <w:tc>
          <w:tcPr>
            <w:tcW w:w="180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0.8</w:t>
            </w:r>
          </w:p>
        </w:tc>
      </w:tr>
      <w:tr w:rsidR="00FD127A" w:rsidRPr="00612923" w:rsidTr="00FD127A">
        <w:trPr>
          <w:trHeight w:val="300"/>
          <w:jc w:val="center"/>
        </w:trPr>
        <w:tc>
          <w:tcPr>
            <w:tcW w:w="1892"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Kern</w:t>
            </w:r>
          </w:p>
        </w:tc>
        <w:tc>
          <w:tcPr>
            <w:tcW w:w="181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32.3%</w:t>
            </w:r>
          </w:p>
        </w:tc>
        <w:tc>
          <w:tcPr>
            <w:tcW w:w="16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22.0%</w:t>
            </w:r>
          </w:p>
        </w:tc>
        <w:tc>
          <w:tcPr>
            <w:tcW w:w="180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10.3</w:t>
            </w:r>
          </w:p>
        </w:tc>
      </w:tr>
      <w:tr w:rsidR="00FD127A" w:rsidRPr="00612923" w:rsidTr="00FD127A">
        <w:trPr>
          <w:trHeight w:val="300"/>
          <w:jc w:val="center"/>
        </w:trPr>
        <w:tc>
          <w:tcPr>
            <w:tcW w:w="1892"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Northern Coast</w:t>
            </w:r>
          </w:p>
        </w:tc>
        <w:tc>
          <w:tcPr>
            <w:tcW w:w="181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0.0%</w:t>
            </w:r>
          </w:p>
        </w:tc>
        <w:tc>
          <w:tcPr>
            <w:tcW w:w="16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0.3%</w:t>
            </w:r>
          </w:p>
        </w:tc>
        <w:tc>
          <w:tcPr>
            <w:tcW w:w="180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-0.3</w:t>
            </w:r>
          </w:p>
        </w:tc>
      </w:tr>
      <w:tr w:rsidR="00FD127A" w:rsidRPr="00612923" w:rsidTr="00FD127A">
        <w:trPr>
          <w:trHeight w:val="300"/>
          <w:jc w:val="center"/>
        </w:trPr>
        <w:tc>
          <w:tcPr>
            <w:tcW w:w="1892"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Other</w:t>
            </w:r>
          </w:p>
        </w:tc>
        <w:tc>
          <w:tcPr>
            <w:tcW w:w="181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10.1%</w:t>
            </w:r>
          </w:p>
        </w:tc>
        <w:tc>
          <w:tcPr>
            <w:tcW w:w="16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19.1%</w:t>
            </w:r>
          </w:p>
        </w:tc>
        <w:tc>
          <w:tcPr>
            <w:tcW w:w="180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-9.0</w:t>
            </w:r>
          </w:p>
        </w:tc>
      </w:tr>
      <w:tr w:rsidR="00FD127A" w:rsidRPr="00612923" w:rsidTr="00FD127A">
        <w:trPr>
          <w:trHeight w:val="300"/>
          <w:jc w:val="center"/>
        </w:trPr>
        <w:tc>
          <w:tcPr>
            <w:tcW w:w="1892"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Sierra</w:t>
            </w:r>
          </w:p>
        </w:tc>
        <w:tc>
          <w:tcPr>
            <w:tcW w:w="181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15.1%</w:t>
            </w:r>
          </w:p>
        </w:tc>
        <w:tc>
          <w:tcPr>
            <w:tcW w:w="16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10.9%</w:t>
            </w:r>
          </w:p>
        </w:tc>
        <w:tc>
          <w:tcPr>
            <w:tcW w:w="180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4.3</w:t>
            </w:r>
          </w:p>
        </w:tc>
      </w:tr>
      <w:tr w:rsidR="00FD127A" w:rsidRPr="00612923" w:rsidTr="00FD127A">
        <w:trPr>
          <w:trHeight w:val="300"/>
          <w:jc w:val="center"/>
        </w:trPr>
        <w:tc>
          <w:tcPr>
            <w:tcW w:w="1892"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Stockton</w:t>
            </w:r>
          </w:p>
        </w:tc>
        <w:tc>
          <w:tcPr>
            <w:tcW w:w="181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15.9%</w:t>
            </w:r>
          </w:p>
        </w:tc>
        <w:tc>
          <w:tcPr>
            <w:tcW w:w="16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18.7%</w:t>
            </w:r>
          </w:p>
        </w:tc>
        <w:tc>
          <w:tcPr>
            <w:tcW w:w="180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-2.8</w:t>
            </w:r>
          </w:p>
        </w:tc>
      </w:tr>
      <w:tr w:rsidR="00FD127A" w:rsidRPr="00612923" w:rsidTr="00FD127A">
        <w:trPr>
          <w:trHeight w:val="300"/>
          <w:jc w:val="center"/>
        </w:trPr>
        <w:tc>
          <w:tcPr>
            <w:tcW w:w="1892"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9832E2">
            <w:pPr>
              <w:pStyle w:val="TableText"/>
            </w:pPr>
            <w:r w:rsidRPr="00612923">
              <w:t>Total</w:t>
            </w:r>
          </w:p>
        </w:tc>
        <w:tc>
          <w:tcPr>
            <w:tcW w:w="1816"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pPr>
            <w:r w:rsidRPr="00612923">
              <w:t>100.0%</w:t>
            </w:r>
          </w:p>
        </w:tc>
        <w:tc>
          <w:tcPr>
            <w:tcW w:w="16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pPr>
            <w:r w:rsidRPr="00612923">
              <w:t>100.0%</w:t>
            </w:r>
          </w:p>
        </w:tc>
        <w:tc>
          <w:tcPr>
            <w:tcW w:w="180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9832E2">
            <w:pPr>
              <w:pStyle w:val="TableText"/>
            </w:pPr>
            <w:r w:rsidRPr="00612923">
              <w:t>-</w:t>
            </w:r>
          </w:p>
        </w:tc>
      </w:tr>
    </w:tbl>
    <w:p w:rsidR="009832E2" w:rsidRPr="00612923" w:rsidRDefault="00FD127A" w:rsidP="00FD127A">
      <w:pPr>
        <w:pStyle w:val="BodyParaAfterTableFigure"/>
      </w:pPr>
      <w:r w:rsidRPr="00612923">
        <w:t>Additionally, high responders are much more likely to be non-CARE customers, as shown in Tables 4</w:t>
      </w:r>
      <w:r w:rsidR="008702A8" w:rsidRPr="00612923">
        <w:noBreakHyphen/>
      </w:r>
      <w:r w:rsidRPr="00612923">
        <w:t>14 and 4-15.  55% of SmartRate-Only customers are not on the CARE rate but almost 75% of high responders fall into that category.  For dually-enrolled customers, the difference is much smaller.</w:t>
      </w:r>
    </w:p>
    <w:p w:rsidR="009832E2" w:rsidRPr="00612923" w:rsidRDefault="009832E2" w:rsidP="009832E2">
      <w:pPr>
        <w:pStyle w:val="BodyParagraph"/>
      </w:pPr>
      <w:r w:rsidRPr="00612923">
        <w:br w:type="page"/>
      </w:r>
    </w:p>
    <w:p w:rsidR="00FD127A" w:rsidRPr="00612923" w:rsidRDefault="00FD127A" w:rsidP="00FD127A">
      <w:pPr>
        <w:pStyle w:val="TableFigureCaption"/>
      </w:pPr>
      <w:r w:rsidRPr="00612923">
        <w:lastRenderedPageBreak/>
        <w:t>Table 4-14: Distribution of SmartRate-</w:t>
      </w:r>
      <w:r w:rsidR="008702A8" w:rsidRPr="00612923">
        <w:t>o</w:t>
      </w:r>
      <w:r w:rsidRPr="00612923">
        <w:t>nly High Responders by CARE Status</w:t>
      </w:r>
    </w:p>
    <w:tbl>
      <w:tblPr>
        <w:tblW w:w="5265" w:type="dxa"/>
        <w:jc w:val="center"/>
        <w:tblInd w:w="93" w:type="dxa"/>
        <w:tblLook w:val="04A0"/>
      </w:tblPr>
      <w:tblGrid>
        <w:gridCol w:w="1320"/>
        <w:gridCol w:w="1372"/>
        <w:gridCol w:w="1313"/>
        <w:gridCol w:w="1295"/>
      </w:tblGrid>
      <w:tr w:rsidR="00FD127A" w:rsidRPr="00612923" w:rsidTr="00FD127A">
        <w:trPr>
          <w:trHeight w:val="1035"/>
          <w:jc w:val="center"/>
        </w:trPr>
        <w:tc>
          <w:tcPr>
            <w:tcW w:w="1320"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CARE Status</w:t>
            </w:r>
          </w:p>
        </w:tc>
        <w:tc>
          <w:tcPr>
            <w:tcW w:w="1372"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High Responders</w:t>
            </w:r>
          </w:p>
        </w:tc>
        <w:tc>
          <w:tcPr>
            <w:tcW w:w="1313"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Full Summer SmartRate Population</w:t>
            </w:r>
          </w:p>
        </w:tc>
        <w:tc>
          <w:tcPr>
            <w:tcW w:w="1260"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pPr>
            <w:r w:rsidRPr="00612923">
              <w:t>Percentage Point Difference</w:t>
            </w:r>
          </w:p>
        </w:tc>
      </w:tr>
      <w:tr w:rsidR="00FD127A" w:rsidRPr="00612923" w:rsidTr="00FD127A">
        <w:trPr>
          <w:trHeight w:val="315"/>
          <w:jc w:val="center"/>
        </w:trPr>
        <w:tc>
          <w:tcPr>
            <w:tcW w:w="13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Non-CARE</w:t>
            </w:r>
          </w:p>
        </w:tc>
        <w:tc>
          <w:tcPr>
            <w:tcW w:w="1372"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74.3%</w:t>
            </w:r>
          </w:p>
        </w:tc>
        <w:tc>
          <w:tcPr>
            <w:tcW w:w="1313"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54.8%</w:t>
            </w:r>
          </w:p>
        </w:tc>
        <w:tc>
          <w:tcPr>
            <w:tcW w:w="126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19.51</w:t>
            </w:r>
          </w:p>
        </w:tc>
      </w:tr>
      <w:tr w:rsidR="00FD127A" w:rsidRPr="00612923" w:rsidTr="00FD127A">
        <w:trPr>
          <w:trHeight w:val="315"/>
          <w:jc w:val="center"/>
        </w:trPr>
        <w:tc>
          <w:tcPr>
            <w:tcW w:w="13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CARE</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25.7%</w:t>
            </w:r>
          </w:p>
        </w:tc>
        <w:tc>
          <w:tcPr>
            <w:tcW w:w="1313"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45.2%</w:t>
            </w:r>
          </w:p>
        </w:tc>
        <w:tc>
          <w:tcPr>
            <w:tcW w:w="126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-19.51</w:t>
            </w:r>
          </w:p>
        </w:tc>
      </w:tr>
      <w:tr w:rsidR="00FD127A" w:rsidRPr="00612923" w:rsidTr="00FD127A">
        <w:trPr>
          <w:trHeight w:val="315"/>
          <w:jc w:val="center"/>
        </w:trPr>
        <w:tc>
          <w:tcPr>
            <w:tcW w:w="13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Total</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313"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26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w:t>
            </w:r>
          </w:p>
        </w:tc>
      </w:tr>
    </w:tbl>
    <w:p w:rsidR="00FD127A" w:rsidRPr="00612923" w:rsidRDefault="00FD127A" w:rsidP="009832E2">
      <w:pPr>
        <w:pStyle w:val="TableFigureCaption"/>
        <w:spacing w:before="360"/>
      </w:pPr>
      <w:r w:rsidRPr="00612923">
        <w:t>Table 4-15: Distribution of Dually-</w:t>
      </w:r>
      <w:r w:rsidR="008702A8" w:rsidRPr="00612923">
        <w:t>e</w:t>
      </w:r>
      <w:r w:rsidRPr="00612923">
        <w:t>nrolled High Responders by CARE Status</w:t>
      </w:r>
    </w:p>
    <w:tbl>
      <w:tblPr>
        <w:tblW w:w="4937" w:type="dxa"/>
        <w:jc w:val="center"/>
        <w:tblInd w:w="93" w:type="dxa"/>
        <w:tblLook w:val="04A0"/>
      </w:tblPr>
      <w:tblGrid>
        <w:gridCol w:w="1299"/>
        <w:gridCol w:w="1372"/>
        <w:gridCol w:w="1250"/>
        <w:gridCol w:w="1295"/>
      </w:tblGrid>
      <w:tr w:rsidR="00FD127A" w:rsidRPr="00612923" w:rsidTr="00FD127A">
        <w:trPr>
          <w:trHeight w:val="1035"/>
          <w:jc w:val="center"/>
        </w:trPr>
        <w:tc>
          <w:tcPr>
            <w:tcW w:w="1299"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CARE Status</w:t>
            </w:r>
          </w:p>
        </w:tc>
        <w:tc>
          <w:tcPr>
            <w:tcW w:w="1093"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High Responders</w:t>
            </w:r>
          </w:p>
        </w:tc>
        <w:tc>
          <w:tcPr>
            <w:tcW w:w="125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Full Summer SmartRate Population</w:t>
            </w:r>
          </w:p>
        </w:tc>
        <w:tc>
          <w:tcPr>
            <w:tcW w:w="1295"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pPr>
            <w:r w:rsidRPr="00612923">
              <w:t>Percentage Point Difference</w:t>
            </w:r>
          </w:p>
        </w:tc>
      </w:tr>
      <w:tr w:rsidR="00FD127A" w:rsidRPr="00612923" w:rsidTr="00FD127A">
        <w:trPr>
          <w:trHeight w:val="315"/>
          <w:jc w:val="center"/>
        </w:trPr>
        <w:tc>
          <w:tcPr>
            <w:tcW w:w="129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Non-CARE</w:t>
            </w:r>
          </w:p>
        </w:tc>
        <w:tc>
          <w:tcPr>
            <w:tcW w:w="1093"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66.5%</w:t>
            </w:r>
          </w:p>
        </w:tc>
        <w:tc>
          <w:tcPr>
            <w:tcW w:w="125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61.2%</w:t>
            </w:r>
          </w:p>
        </w:tc>
        <w:tc>
          <w:tcPr>
            <w:tcW w:w="1295"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5.31</w:t>
            </w:r>
          </w:p>
        </w:tc>
      </w:tr>
      <w:tr w:rsidR="00FD127A" w:rsidRPr="00612923" w:rsidTr="00FD127A">
        <w:trPr>
          <w:trHeight w:val="315"/>
          <w:jc w:val="center"/>
        </w:trPr>
        <w:tc>
          <w:tcPr>
            <w:tcW w:w="129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CARE</w:t>
            </w:r>
          </w:p>
        </w:tc>
        <w:tc>
          <w:tcPr>
            <w:tcW w:w="1093"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33.5%</w:t>
            </w:r>
          </w:p>
        </w:tc>
        <w:tc>
          <w:tcPr>
            <w:tcW w:w="125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38.8%</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-5.31</w:t>
            </w:r>
          </w:p>
        </w:tc>
      </w:tr>
      <w:tr w:rsidR="00FD127A" w:rsidRPr="00612923" w:rsidTr="00FD127A">
        <w:trPr>
          <w:trHeight w:val="315"/>
          <w:jc w:val="center"/>
        </w:trPr>
        <w:tc>
          <w:tcPr>
            <w:tcW w:w="129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Total</w:t>
            </w:r>
          </w:p>
        </w:tc>
        <w:tc>
          <w:tcPr>
            <w:tcW w:w="1093"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25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w:t>
            </w:r>
          </w:p>
        </w:tc>
      </w:tr>
    </w:tbl>
    <w:p w:rsidR="00FD127A" w:rsidRPr="00612923" w:rsidRDefault="00FD127A" w:rsidP="00FD127A">
      <w:pPr>
        <w:pStyle w:val="BodyParaAfterTableFigure"/>
      </w:pPr>
      <w:r w:rsidRPr="00612923">
        <w:t>Bill protection does not appear to play a role in the size of impacts, as shown in Table 4-16 and 4-17.  For high responders and the whole SmartRate population, the percentage of customers with bill protection is 12%. The same point holds true for dually-enrolled customers.</w:t>
      </w:r>
    </w:p>
    <w:p w:rsidR="00FD127A" w:rsidRPr="00612923" w:rsidRDefault="00FD127A" w:rsidP="009832E2">
      <w:pPr>
        <w:pStyle w:val="TableFigureCaption"/>
      </w:pPr>
      <w:r w:rsidRPr="00612923">
        <w:t>Table 4-16: Distribution of SmartRate-</w:t>
      </w:r>
      <w:r w:rsidR="008702A8" w:rsidRPr="00612923">
        <w:t>o</w:t>
      </w:r>
      <w:r w:rsidRPr="00612923">
        <w:t>nly High Responders by Bill Protection Status</w:t>
      </w:r>
      <w:r w:rsidR="00065459" w:rsidRPr="00612923">
        <w:rPr>
          <w:rStyle w:val="FootnoteReference"/>
        </w:rPr>
        <w:footnoteReference w:id="23"/>
      </w:r>
    </w:p>
    <w:tbl>
      <w:tblPr>
        <w:tblW w:w="7500" w:type="dxa"/>
        <w:jc w:val="center"/>
        <w:tblInd w:w="93" w:type="dxa"/>
        <w:tblLook w:val="04A0"/>
      </w:tblPr>
      <w:tblGrid>
        <w:gridCol w:w="2120"/>
        <w:gridCol w:w="1920"/>
        <w:gridCol w:w="1740"/>
        <w:gridCol w:w="1720"/>
      </w:tblGrid>
      <w:tr w:rsidR="00FD127A" w:rsidRPr="00612923" w:rsidTr="00FD127A">
        <w:trPr>
          <w:trHeight w:val="525"/>
          <w:jc w:val="center"/>
        </w:trPr>
        <w:tc>
          <w:tcPr>
            <w:tcW w:w="2120"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Bill Protected</w:t>
            </w:r>
          </w:p>
        </w:tc>
        <w:tc>
          <w:tcPr>
            <w:tcW w:w="192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High Responders</w:t>
            </w:r>
          </w:p>
        </w:tc>
        <w:tc>
          <w:tcPr>
            <w:tcW w:w="174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Full Summer SmartRate Population</w:t>
            </w:r>
          </w:p>
        </w:tc>
        <w:tc>
          <w:tcPr>
            <w:tcW w:w="1720"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pPr>
            <w:r w:rsidRPr="00612923">
              <w:t>Percentage Point Difference</w:t>
            </w:r>
          </w:p>
        </w:tc>
      </w:tr>
      <w:tr w:rsidR="00FD127A" w:rsidRPr="00612923" w:rsidTr="00FD127A">
        <w:trPr>
          <w:trHeight w:val="315"/>
          <w:jc w:val="center"/>
        </w:trPr>
        <w:tc>
          <w:tcPr>
            <w:tcW w:w="21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No</w:t>
            </w:r>
          </w:p>
        </w:tc>
        <w:tc>
          <w:tcPr>
            <w:tcW w:w="192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89.1%</w:t>
            </w:r>
          </w:p>
        </w:tc>
        <w:tc>
          <w:tcPr>
            <w:tcW w:w="174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91.9%</w:t>
            </w:r>
          </w:p>
        </w:tc>
        <w:tc>
          <w:tcPr>
            <w:tcW w:w="172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-2.8</w:t>
            </w:r>
          </w:p>
        </w:tc>
      </w:tr>
      <w:tr w:rsidR="00FD127A" w:rsidRPr="00612923" w:rsidTr="00FD127A">
        <w:trPr>
          <w:trHeight w:val="315"/>
          <w:jc w:val="center"/>
        </w:trPr>
        <w:tc>
          <w:tcPr>
            <w:tcW w:w="2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Yes</w:t>
            </w:r>
          </w:p>
        </w:tc>
        <w:tc>
          <w:tcPr>
            <w:tcW w:w="192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10.9%</w:t>
            </w:r>
          </w:p>
        </w:tc>
        <w:tc>
          <w:tcPr>
            <w:tcW w:w="174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8.1%</w:t>
            </w:r>
          </w:p>
        </w:tc>
        <w:tc>
          <w:tcPr>
            <w:tcW w:w="172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2.8</w:t>
            </w:r>
          </w:p>
        </w:tc>
      </w:tr>
      <w:tr w:rsidR="00FD127A" w:rsidRPr="00612923" w:rsidTr="00FD127A">
        <w:trPr>
          <w:trHeight w:val="315"/>
          <w:jc w:val="center"/>
        </w:trPr>
        <w:tc>
          <w:tcPr>
            <w:tcW w:w="2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Total</w:t>
            </w:r>
          </w:p>
        </w:tc>
        <w:tc>
          <w:tcPr>
            <w:tcW w:w="192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74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72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w:t>
            </w:r>
          </w:p>
        </w:tc>
      </w:tr>
    </w:tbl>
    <w:p w:rsidR="00FD127A" w:rsidRPr="00612923" w:rsidRDefault="00FD127A" w:rsidP="009832E2">
      <w:pPr>
        <w:pStyle w:val="TableFigureCaption"/>
        <w:spacing w:before="360"/>
      </w:pPr>
      <w:r w:rsidRPr="00612923">
        <w:t>Table 4-17: Distribution of Dually</w:t>
      </w:r>
      <w:r w:rsidR="008702A8" w:rsidRPr="00612923">
        <w:t>-e</w:t>
      </w:r>
      <w:r w:rsidRPr="00612923">
        <w:t>nrolled High Responders by Bill Protection Status</w:t>
      </w:r>
    </w:p>
    <w:tbl>
      <w:tblPr>
        <w:tblW w:w="7500" w:type="dxa"/>
        <w:jc w:val="center"/>
        <w:tblInd w:w="93" w:type="dxa"/>
        <w:tblLook w:val="04A0"/>
      </w:tblPr>
      <w:tblGrid>
        <w:gridCol w:w="2120"/>
        <w:gridCol w:w="1920"/>
        <w:gridCol w:w="1740"/>
        <w:gridCol w:w="1720"/>
      </w:tblGrid>
      <w:tr w:rsidR="00FD127A" w:rsidRPr="00612923" w:rsidTr="00FD127A">
        <w:trPr>
          <w:trHeight w:val="835"/>
          <w:jc w:val="center"/>
        </w:trPr>
        <w:tc>
          <w:tcPr>
            <w:tcW w:w="2120"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Bill Protected</w:t>
            </w:r>
          </w:p>
        </w:tc>
        <w:tc>
          <w:tcPr>
            <w:tcW w:w="192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High Responders</w:t>
            </w:r>
          </w:p>
        </w:tc>
        <w:tc>
          <w:tcPr>
            <w:tcW w:w="174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Full Summer SmartRate Population</w:t>
            </w:r>
          </w:p>
        </w:tc>
        <w:tc>
          <w:tcPr>
            <w:tcW w:w="1720"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pPr>
            <w:r w:rsidRPr="00612923">
              <w:t>Percentage Point Difference</w:t>
            </w:r>
          </w:p>
        </w:tc>
      </w:tr>
      <w:tr w:rsidR="00FD127A" w:rsidRPr="00612923" w:rsidTr="00FD127A">
        <w:trPr>
          <w:trHeight w:val="315"/>
          <w:jc w:val="center"/>
        </w:trPr>
        <w:tc>
          <w:tcPr>
            <w:tcW w:w="21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No</w:t>
            </w:r>
          </w:p>
        </w:tc>
        <w:tc>
          <w:tcPr>
            <w:tcW w:w="192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95.1%</w:t>
            </w:r>
          </w:p>
        </w:tc>
        <w:tc>
          <w:tcPr>
            <w:tcW w:w="174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97.0%</w:t>
            </w:r>
          </w:p>
        </w:tc>
        <w:tc>
          <w:tcPr>
            <w:tcW w:w="172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-1.9</w:t>
            </w:r>
          </w:p>
        </w:tc>
      </w:tr>
      <w:tr w:rsidR="00FD127A" w:rsidRPr="00612923" w:rsidTr="00FD127A">
        <w:trPr>
          <w:trHeight w:val="315"/>
          <w:jc w:val="center"/>
        </w:trPr>
        <w:tc>
          <w:tcPr>
            <w:tcW w:w="2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Yes</w:t>
            </w:r>
          </w:p>
        </w:tc>
        <w:tc>
          <w:tcPr>
            <w:tcW w:w="192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4.9%</w:t>
            </w:r>
          </w:p>
        </w:tc>
        <w:tc>
          <w:tcPr>
            <w:tcW w:w="174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3.0%</w:t>
            </w:r>
          </w:p>
        </w:tc>
        <w:tc>
          <w:tcPr>
            <w:tcW w:w="172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1.9</w:t>
            </w:r>
          </w:p>
        </w:tc>
      </w:tr>
      <w:tr w:rsidR="00FD127A" w:rsidRPr="00612923" w:rsidTr="00FD127A">
        <w:trPr>
          <w:trHeight w:val="315"/>
          <w:jc w:val="center"/>
        </w:trPr>
        <w:tc>
          <w:tcPr>
            <w:tcW w:w="2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Total</w:t>
            </w:r>
          </w:p>
        </w:tc>
        <w:tc>
          <w:tcPr>
            <w:tcW w:w="192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74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72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w:t>
            </w:r>
          </w:p>
        </w:tc>
      </w:tr>
    </w:tbl>
    <w:p w:rsidR="00FD127A" w:rsidRPr="00612923" w:rsidRDefault="00FD127A" w:rsidP="00FD127A">
      <w:pPr>
        <w:pStyle w:val="BodyParaAfterTableFigure"/>
      </w:pPr>
      <w:r w:rsidRPr="00612923">
        <w:lastRenderedPageBreak/>
        <w:t>Monthly usage, however, is highly correlated with higher-than-average impacts, as shown in Tables 4</w:t>
      </w:r>
      <w:r w:rsidR="008702A8" w:rsidRPr="00612923">
        <w:noBreakHyphen/>
      </w:r>
      <w:r w:rsidRPr="00612923">
        <w:t>18 and 4-19.  The higher the decile of average monthly usage a customer is in, the more likely he is</w:t>
      </w:r>
      <w:r w:rsidR="008702A8" w:rsidRPr="00612923">
        <w:t> </w:t>
      </w:r>
      <w:r w:rsidRPr="00612923">
        <w:t xml:space="preserve">to be a high responder, for both SmartRate-only and dually-enrolled customers.  </w:t>
      </w:r>
      <w:r w:rsidR="0045539A">
        <w:t xml:space="preserve">This is not a surprising result.  </w:t>
      </w:r>
      <w:r w:rsidRPr="00612923">
        <w:t>Only 11% of SmartRate-only high responders are found in the bottom five deciles of usage.  On the other hand, more than 25% of SmartRate-Only high responders come from the 10</w:t>
      </w:r>
      <w:r w:rsidRPr="00612923">
        <w:rPr>
          <w:vertAlign w:val="superscript"/>
        </w:rPr>
        <w:t>th</w:t>
      </w:r>
      <w:r w:rsidRPr="00612923">
        <w:t xml:space="preserve"> decile alone.  The situation is</w:t>
      </w:r>
      <w:r w:rsidR="008702A8" w:rsidRPr="00612923">
        <w:t> </w:t>
      </w:r>
      <w:r w:rsidRPr="00612923">
        <w:t xml:space="preserve">similar for dually-enrolled customers.  Only 22% of dually-enrolled high responders fall into the bottom five deciles of usage, while 35% of </w:t>
      </w:r>
      <w:proofErr w:type="gramStart"/>
      <w:r w:rsidRPr="00612923">
        <w:t>this group are</w:t>
      </w:r>
      <w:proofErr w:type="gramEnd"/>
      <w:r w:rsidRPr="00612923">
        <w:t xml:space="preserve"> in the 10</w:t>
      </w:r>
      <w:r w:rsidRPr="00612923">
        <w:rPr>
          <w:vertAlign w:val="superscript"/>
        </w:rPr>
        <w:t>th</w:t>
      </w:r>
      <w:r w:rsidRPr="00612923">
        <w:t xml:space="preserve"> decile.</w:t>
      </w:r>
    </w:p>
    <w:p w:rsidR="00FD127A" w:rsidRPr="00612923" w:rsidRDefault="00FD127A" w:rsidP="00FD127A">
      <w:pPr>
        <w:pStyle w:val="TableFigureCaption"/>
      </w:pPr>
      <w:r w:rsidRPr="00612923">
        <w:t>Table 4-18: Distribution of SmartRate-</w:t>
      </w:r>
      <w:r w:rsidR="008702A8" w:rsidRPr="00612923">
        <w:t>o</w:t>
      </w:r>
      <w:r w:rsidRPr="00612923">
        <w:t>nly High Responders by Monthly Usage Decile</w:t>
      </w:r>
    </w:p>
    <w:tbl>
      <w:tblPr>
        <w:tblW w:w="5167" w:type="dxa"/>
        <w:jc w:val="center"/>
        <w:tblInd w:w="93" w:type="dxa"/>
        <w:tblLook w:val="04A0"/>
      </w:tblPr>
      <w:tblGrid>
        <w:gridCol w:w="1120"/>
        <w:gridCol w:w="1372"/>
        <w:gridCol w:w="1380"/>
        <w:gridCol w:w="1295"/>
      </w:tblGrid>
      <w:tr w:rsidR="00FD127A" w:rsidRPr="00612923" w:rsidTr="00FD127A">
        <w:trPr>
          <w:trHeight w:val="780"/>
          <w:jc w:val="center"/>
        </w:trPr>
        <w:tc>
          <w:tcPr>
            <w:tcW w:w="1120"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Monthly Usage Decile</w:t>
            </w:r>
          </w:p>
        </w:tc>
        <w:tc>
          <w:tcPr>
            <w:tcW w:w="1372"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High Responders</w:t>
            </w:r>
          </w:p>
        </w:tc>
        <w:tc>
          <w:tcPr>
            <w:tcW w:w="138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Full Summer SmartRate Population</w:t>
            </w:r>
          </w:p>
        </w:tc>
        <w:tc>
          <w:tcPr>
            <w:tcW w:w="1295"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pPr>
            <w:r w:rsidRPr="00612923">
              <w:t>Percentage Point Difference</w:t>
            </w:r>
          </w:p>
        </w:tc>
      </w:tr>
      <w:tr w:rsidR="00FD127A" w:rsidRPr="00612923" w:rsidTr="00FD127A">
        <w:trPr>
          <w:trHeight w:val="315"/>
          <w:jc w:val="center"/>
        </w:trPr>
        <w:tc>
          <w:tcPr>
            <w:tcW w:w="11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w:t>
            </w:r>
          </w:p>
        </w:tc>
        <w:tc>
          <w:tcPr>
            <w:tcW w:w="1372"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0.1%</w:t>
            </w:r>
          </w:p>
        </w:tc>
        <w:tc>
          <w:tcPr>
            <w:tcW w:w="138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10.0%</w:t>
            </w:r>
          </w:p>
        </w:tc>
        <w:tc>
          <w:tcPr>
            <w:tcW w:w="1295"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-9.9</w:t>
            </w:r>
          </w:p>
        </w:tc>
      </w:tr>
      <w:tr w:rsidR="00FD127A" w:rsidRPr="00612923" w:rsidTr="00FD127A">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0.6%</w:t>
            </w:r>
          </w:p>
        </w:tc>
        <w:tc>
          <w:tcPr>
            <w:tcW w:w="13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-9.4</w:t>
            </w:r>
          </w:p>
        </w:tc>
      </w:tr>
      <w:tr w:rsidR="00FD127A" w:rsidRPr="00612923" w:rsidTr="00FD127A">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1.2%</w:t>
            </w:r>
          </w:p>
        </w:tc>
        <w:tc>
          <w:tcPr>
            <w:tcW w:w="13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-8.8</w:t>
            </w:r>
          </w:p>
        </w:tc>
      </w:tr>
      <w:tr w:rsidR="00FD127A" w:rsidRPr="00612923" w:rsidTr="00FD127A">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4</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3.9%</w:t>
            </w:r>
          </w:p>
        </w:tc>
        <w:tc>
          <w:tcPr>
            <w:tcW w:w="13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-6.1</w:t>
            </w:r>
          </w:p>
        </w:tc>
      </w:tr>
      <w:tr w:rsidR="00FD127A" w:rsidRPr="00612923" w:rsidTr="00FD127A">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5</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5.2%</w:t>
            </w:r>
          </w:p>
        </w:tc>
        <w:tc>
          <w:tcPr>
            <w:tcW w:w="13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-4.8</w:t>
            </w:r>
          </w:p>
        </w:tc>
      </w:tr>
      <w:tr w:rsidR="00FD127A" w:rsidRPr="00612923" w:rsidTr="00FD127A">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6</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9.9%</w:t>
            </w:r>
          </w:p>
        </w:tc>
        <w:tc>
          <w:tcPr>
            <w:tcW w:w="13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-0.1</w:t>
            </w:r>
          </w:p>
        </w:tc>
      </w:tr>
      <w:tr w:rsidR="00FD127A" w:rsidRPr="00612923" w:rsidTr="00FD127A">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7</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14.7%</w:t>
            </w:r>
          </w:p>
        </w:tc>
        <w:tc>
          <w:tcPr>
            <w:tcW w:w="13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4.7</w:t>
            </w:r>
          </w:p>
        </w:tc>
      </w:tr>
      <w:tr w:rsidR="00FD127A" w:rsidRPr="00612923" w:rsidTr="00FD127A">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8</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18.1%</w:t>
            </w:r>
          </w:p>
        </w:tc>
        <w:tc>
          <w:tcPr>
            <w:tcW w:w="13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8.1</w:t>
            </w:r>
          </w:p>
        </w:tc>
      </w:tr>
      <w:tr w:rsidR="00FD127A" w:rsidRPr="00612923" w:rsidTr="00FD127A">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9</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20.7%</w:t>
            </w:r>
          </w:p>
        </w:tc>
        <w:tc>
          <w:tcPr>
            <w:tcW w:w="13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10.7</w:t>
            </w:r>
          </w:p>
        </w:tc>
      </w:tr>
      <w:tr w:rsidR="00FD127A" w:rsidRPr="00612923" w:rsidTr="00FD127A">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25.3%</w:t>
            </w:r>
          </w:p>
        </w:tc>
        <w:tc>
          <w:tcPr>
            <w:tcW w:w="13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15.3</w:t>
            </w:r>
          </w:p>
        </w:tc>
      </w:tr>
      <w:tr w:rsidR="00FD127A" w:rsidRPr="00612923" w:rsidTr="00FD127A">
        <w:trPr>
          <w:trHeight w:val="315"/>
          <w:jc w:val="center"/>
        </w:trPr>
        <w:tc>
          <w:tcPr>
            <w:tcW w:w="11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Total</w:t>
            </w:r>
          </w:p>
        </w:tc>
        <w:tc>
          <w:tcPr>
            <w:tcW w:w="1372"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3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w:t>
            </w:r>
          </w:p>
        </w:tc>
      </w:tr>
    </w:tbl>
    <w:p w:rsidR="00FD127A" w:rsidRPr="00612923" w:rsidRDefault="00FD127A" w:rsidP="00620BC7">
      <w:pPr>
        <w:pStyle w:val="TableFigureCaption"/>
        <w:spacing w:before="360"/>
      </w:pPr>
      <w:r w:rsidRPr="00612923">
        <w:lastRenderedPageBreak/>
        <w:t>Table 4-19: Distribution of Dually-</w:t>
      </w:r>
      <w:r w:rsidR="008702A8" w:rsidRPr="00612923">
        <w:t>e</w:t>
      </w:r>
      <w:r w:rsidRPr="00612923">
        <w:t>nrolled High Responders by Monthly Usage Decile</w:t>
      </w:r>
    </w:p>
    <w:tbl>
      <w:tblPr>
        <w:tblW w:w="4640" w:type="dxa"/>
        <w:jc w:val="center"/>
        <w:tblInd w:w="93" w:type="dxa"/>
        <w:tblLook w:val="04A0"/>
      </w:tblPr>
      <w:tblGrid>
        <w:gridCol w:w="983"/>
        <w:gridCol w:w="1372"/>
        <w:gridCol w:w="1376"/>
        <w:gridCol w:w="1295"/>
      </w:tblGrid>
      <w:tr w:rsidR="00FD127A" w:rsidRPr="00612923" w:rsidTr="00FD127A">
        <w:trPr>
          <w:trHeight w:val="1035"/>
          <w:jc w:val="center"/>
        </w:trPr>
        <w:tc>
          <w:tcPr>
            <w:tcW w:w="969"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620BC7">
            <w:pPr>
              <w:pStyle w:val="TableHeader"/>
              <w:keepNext/>
            </w:pPr>
            <w:r w:rsidRPr="00612923">
              <w:t>Monthly Usage Decile</w:t>
            </w:r>
          </w:p>
        </w:tc>
        <w:tc>
          <w:tcPr>
            <w:tcW w:w="1186"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620BC7">
            <w:pPr>
              <w:pStyle w:val="TableHeader"/>
              <w:keepNext/>
            </w:pPr>
            <w:r w:rsidRPr="00612923">
              <w:t>High Responders</w:t>
            </w:r>
          </w:p>
        </w:tc>
        <w:tc>
          <w:tcPr>
            <w:tcW w:w="1376"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620BC7">
            <w:pPr>
              <w:pStyle w:val="TableHeader"/>
              <w:keepNext/>
            </w:pPr>
            <w:r w:rsidRPr="00612923">
              <w:t>Full Summer SmartRate Population</w:t>
            </w:r>
          </w:p>
        </w:tc>
        <w:tc>
          <w:tcPr>
            <w:tcW w:w="1109"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620BC7">
            <w:pPr>
              <w:pStyle w:val="TableHeader"/>
              <w:keepNext/>
            </w:pPr>
            <w:r w:rsidRPr="00612923">
              <w:t>Percentage Point Difference</w:t>
            </w:r>
          </w:p>
        </w:tc>
      </w:tr>
      <w:tr w:rsidR="00FD127A" w:rsidRPr="00612923" w:rsidTr="00FD127A">
        <w:trPr>
          <w:trHeight w:val="315"/>
          <w:jc w:val="center"/>
        </w:trPr>
        <w:tc>
          <w:tcPr>
            <w:tcW w:w="96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w:t>
            </w:r>
          </w:p>
        </w:tc>
        <w:tc>
          <w:tcPr>
            <w:tcW w:w="1186"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0.5%</w:t>
            </w:r>
          </w:p>
        </w:tc>
        <w:tc>
          <w:tcPr>
            <w:tcW w:w="1376"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10.0%</w:t>
            </w:r>
          </w:p>
        </w:tc>
        <w:tc>
          <w:tcPr>
            <w:tcW w:w="1109"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-9.5</w:t>
            </w:r>
          </w:p>
        </w:tc>
      </w:tr>
      <w:tr w:rsidR="00FD127A" w:rsidRPr="00612923" w:rsidTr="00FD127A">
        <w:trPr>
          <w:trHeight w:val="315"/>
          <w:jc w:val="center"/>
        </w:trPr>
        <w:tc>
          <w:tcPr>
            <w:tcW w:w="96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2</w:t>
            </w:r>
          </w:p>
        </w:tc>
        <w:tc>
          <w:tcPr>
            <w:tcW w:w="118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2.6%</w:t>
            </w:r>
          </w:p>
        </w:tc>
        <w:tc>
          <w:tcPr>
            <w:tcW w:w="137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10.0%</w:t>
            </w:r>
          </w:p>
        </w:tc>
        <w:tc>
          <w:tcPr>
            <w:tcW w:w="1109"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-7.4</w:t>
            </w:r>
          </w:p>
        </w:tc>
      </w:tr>
      <w:tr w:rsidR="00FD127A" w:rsidRPr="00612923" w:rsidTr="00FD127A">
        <w:trPr>
          <w:trHeight w:val="315"/>
          <w:jc w:val="center"/>
        </w:trPr>
        <w:tc>
          <w:tcPr>
            <w:tcW w:w="96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3</w:t>
            </w:r>
          </w:p>
        </w:tc>
        <w:tc>
          <w:tcPr>
            <w:tcW w:w="118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5.6%</w:t>
            </w:r>
          </w:p>
        </w:tc>
        <w:tc>
          <w:tcPr>
            <w:tcW w:w="137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10.0%</w:t>
            </w:r>
          </w:p>
        </w:tc>
        <w:tc>
          <w:tcPr>
            <w:tcW w:w="1109"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-4.4</w:t>
            </w:r>
          </w:p>
        </w:tc>
      </w:tr>
      <w:tr w:rsidR="00FD127A" w:rsidRPr="00612923" w:rsidTr="00FD127A">
        <w:trPr>
          <w:trHeight w:val="315"/>
          <w:jc w:val="center"/>
        </w:trPr>
        <w:tc>
          <w:tcPr>
            <w:tcW w:w="96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4</w:t>
            </w:r>
          </w:p>
        </w:tc>
        <w:tc>
          <w:tcPr>
            <w:tcW w:w="118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4.4%</w:t>
            </w:r>
          </w:p>
        </w:tc>
        <w:tc>
          <w:tcPr>
            <w:tcW w:w="137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10.0%</w:t>
            </w:r>
          </w:p>
        </w:tc>
        <w:tc>
          <w:tcPr>
            <w:tcW w:w="1109"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-5.6</w:t>
            </w:r>
          </w:p>
        </w:tc>
      </w:tr>
      <w:tr w:rsidR="00FD127A" w:rsidRPr="00612923" w:rsidTr="00FD127A">
        <w:trPr>
          <w:trHeight w:val="315"/>
          <w:jc w:val="center"/>
        </w:trPr>
        <w:tc>
          <w:tcPr>
            <w:tcW w:w="96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5</w:t>
            </w:r>
          </w:p>
        </w:tc>
        <w:tc>
          <w:tcPr>
            <w:tcW w:w="118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9.2%</w:t>
            </w:r>
          </w:p>
        </w:tc>
        <w:tc>
          <w:tcPr>
            <w:tcW w:w="137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10.0%</w:t>
            </w:r>
          </w:p>
        </w:tc>
        <w:tc>
          <w:tcPr>
            <w:tcW w:w="1109"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-0.8</w:t>
            </w:r>
          </w:p>
        </w:tc>
      </w:tr>
      <w:tr w:rsidR="00FD127A" w:rsidRPr="00612923" w:rsidTr="00FD127A">
        <w:trPr>
          <w:trHeight w:val="315"/>
          <w:jc w:val="center"/>
        </w:trPr>
        <w:tc>
          <w:tcPr>
            <w:tcW w:w="96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6</w:t>
            </w:r>
          </w:p>
        </w:tc>
        <w:tc>
          <w:tcPr>
            <w:tcW w:w="118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16.9%</w:t>
            </w:r>
          </w:p>
        </w:tc>
        <w:tc>
          <w:tcPr>
            <w:tcW w:w="137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10.0%</w:t>
            </w:r>
          </w:p>
        </w:tc>
        <w:tc>
          <w:tcPr>
            <w:tcW w:w="1109"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6.9</w:t>
            </w:r>
          </w:p>
        </w:tc>
      </w:tr>
      <w:tr w:rsidR="00FD127A" w:rsidRPr="00612923" w:rsidTr="00FD127A">
        <w:trPr>
          <w:trHeight w:val="315"/>
          <w:jc w:val="center"/>
        </w:trPr>
        <w:tc>
          <w:tcPr>
            <w:tcW w:w="96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7</w:t>
            </w:r>
          </w:p>
        </w:tc>
        <w:tc>
          <w:tcPr>
            <w:tcW w:w="118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18.2%</w:t>
            </w:r>
          </w:p>
        </w:tc>
        <w:tc>
          <w:tcPr>
            <w:tcW w:w="137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10.0%</w:t>
            </w:r>
          </w:p>
        </w:tc>
        <w:tc>
          <w:tcPr>
            <w:tcW w:w="1109"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8.2</w:t>
            </w:r>
          </w:p>
        </w:tc>
      </w:tr>
      <w:tr w:rsidR="00FD127A" w:rsidRPr="00612923" w:rsidTr="00FD127A">
        <w:trPr>
          <w:trHeight w:val="315"/>
          <w:jc w:val="center"/>
        </w:trPr>
        <w:tc>
          <w:tcPr>
            <w:tcW w:w="96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8</w:t>
            </w:r>
          </w:p>
        </w:tc>
        <w:tc>
          <w:tcPr>
            <w:tcW w:w="118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20.3%</w:t>
            </w:r>
          </w:p>
        </w:tc>
        <w:tc>
          <w:tcPr>
            <w:tcW w:w="137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10.0%</w:t>
            </w:r>
          </w:p>
        </w:tc>
        <w:tc>
          <w:tcPr>
            <w:tcW w:w="1109"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10.3</w:t>
            </w:r>
          </w:p>
        </w:tc>
      </w:tr>
      <w:tr w:rsidR="00FD127A" w:rsidRPr="00612923" w:rsidTr="00FD127A">
        <w:trPr>
          <w:trHeight w:val="315"/>
          <w:jc w:val="center"/>
        </w:trPr>
        <w:tc>
          <w:tcPr>
            <w:tcW w:w="96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9</w:t>
            </w:r>
          </w:p>
        </w:tc>
        <w:tc>
          <w:tcPr>
            <w:tcW w:w="118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23.6%</w:t>
            </w:r>
          </w:p>
        </w:tc>
        <w:tc>
          <w:tcPr>
            <w:tcW w:w="137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10.0%</w:t>
            </w:r>
          </w:p>
        </w:tc>
        <w:tc>
          <w:tcPr>
            <w:tcW w:w="1109"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13.6</w:t>
            </w:r>
          </w:p>
        </w:tc>
      </w:tr>
      <w:tr w:rsidR="00FD127A" w:rsidRPr="00612923" w:rsidTr="00FD127A">
        <w:trPr>
          <w:trHeight w:val="315"/>
          <w:jc w:val="center"/>
        </w:trPr>
        <w:tc>
          <w:tcPr>
            <w:tcW w:w="96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w:t>
            </w:r>
          </w:p>
        </w:tc>
        <w:tc>
          <w:tcPr>
            <w:tcW w:w="118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35.1%</w:t>
            </w:r>
          </w:p>
        </w:tc>
        <w:tc>
          <w:tcPr>
            <w:tcW w:w="137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10.0%</w:t>
            </w:r>
          </w:p>
        </w:tc>
        <w:tc>
          <w:tcPr>
            <w:tcW w:w="1109"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620BC7">
            <w:pPr>
              <w:pStyle w:val="TableText"/>
              <w:keepNext/>
            </w:pPr>
            <w:r w:rsidRPr="00612923">
              <w:t>25.1</w:t>
            </w:r>
          </w:p>
        </w:tc>
      </w:tr>
      <w:tr w:rsidR="00FD127A" w:rsidRPr="00612923" w:rsidTr="00FD127A">
        <w:trPr>
          <w:trHeight w:val="315"/>
          <w:jc w:val="center"/>
        </w:trPr>
        <w:tc>
          <w:tcPr>
            <w:tcW w:w="969"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Total</w:t>
            </w:r>
          </w:p>
        </w:tc>
        <w:tc>
          <w:tcPr>
            <w:tcW w:w="118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376"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109"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w:t>
            </w:r>
          </w:p>
        </w:tc>
      </w:tr>
    </w:tbl>
    <w:p w:rsidR="00FD127A" w:rsidRPr="00612923" w:rsidRDefault="00FD127A" w:rsidP="00FD127A">
      <w:pPr>
        <w:pStyle w:val="BodyParaAfterTableFigure"/>
      </w:pPr>
      <w:r w:rsidRPr="00612923">
        <w:t xml:space="preserve">There is also the question of whether customers provide lower impacts the longer they are on SmartRate.  Tables 4-20 and 4-21 show high responders broken down by the number of summers each customer has experienced.  There are slightly fewer high responders that have been on SmartRate for three or four summers than if the distribution was the same as the whole SmartRate population.  However, the difference is small enough that it is hard to conclusively say that being on SmartRate for longer periods of time leads to lower impacts.  SmartRate marketing targeted different geographical areas at different times, which means that the values in Table 4-13 and 4-14 are also related to geography.  This is especially true for dually-enrolled customers.  As shown above, customers in certain regions provide higher impacts.  Given self-selection effects associated with signing up at different times, it would take an experiment to separate these effects. </w:t>
      </w:r>
    </w:p>
    <w:p w:rsidR="00FD127A" w:rsidRPr="00612923" w:rsidRDefault="00FD127A" w:rsidP="00FD127A">
      <w:pPr>
        <w:pStyle w:val="TableFigureCaption"/>
      </w:pPr>
      <w:r w:rsidRPr="00612923">
        <w:t>Table 4-20: Distribution of SmartRate-</w:t>
      </w:r>
      <w:r w:rsidR="008702A8" w:rsidRPr="00612923">
        <w:t>o</w:t>
      </w:r>
      <w:r w:rsidRPr="00612923">
        <w:t xml:space="preserve">nly High Responders by </w:t>
      </w:r>
      <w:r w:rsidR="009832E2" w:rsidRPr="00612923">
        <w:br/>
      </w:r>
      <w:r w:rsidRPr="00612923">
        <w:t xml:space="preserve">Number of </w:t>
      </w:r>
      <w:proofErr w:type="gramStart"/>
      <w:r w:rsidRPr="00612923">
        <w:t>Summers</w:t>
      </w:r>
      <w:proofErr w:type="gramEnd"/>
      <w:r w:rsidRPr="00612923">
        <w:t xml:space="preserve"> on SmartRate</w:t>
      </w:r>
    </w:p>
    <w:tbl>
      <w:tblPr>
        <w:tblW w:w="5363" w:type="dxa"/>
        <w:jc w:val="center"/>
        <w:tblLook w:val="04A0"/>
      </w:tblPr>
      <w:tblGrid>
        <w:gridCol w:w="1278"/>
        <w:gridCol w:w="1530"/>
        <w:gridCol w:w="1260"/>
        <w:gridCol w:w="1295"/>
      </w:tblGrid>
      <w:tr w:rsidR="00FD127A" w:rsidRPr="00612923" w:rsidTr="00FD127A">
        <w:trPr>
          <w:trHeight w:val="780"/>
          <w:jc w:val="center"/>
        </w:trPr>
        <w:tc>
          <w:tcPr>
            <w:tcW w:w="1278"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Number of Summers on SmartRate</w:t>
            </w:r>
          </w:p>
        </w:tc>
        <w:tc>
          <w:tcPr>
            <w:tcW w:w="153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High Responders</w:t>
            </w:r>
          </w:p>
        </w:tc>
        <w:tc>
          <w:tcPr>
            <w:tcW w:w="126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Full Summer SmartRate Population</w:t>
            </w:r>
          </w:p>
        </w:tc>
        <w:tc>
          <w:tcPr>
            <w:tcW w:w="1295"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pPr>
            <w:r w:rsidRPr="00612923">
              <w:t>Percentage Point Difference</w:t>
            </w:r>
          </w:p>
        </w:tc>
      </w:tr>
      <w:tr w:rsidR="00FD127A" w:rsidRPr="00612923" w:rsidTr="00FD127A">
        <w:trPr>
          <w:trHeight w:val="315"/>
          <w:jc w:val="center"/>
        </w:trPr>
        <w:tc>
          <w:tcPr>
            <w:tcW w:w="12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w:t>
            </w:r>
          </w:p>
        </w:tc>
        <w:tc>
          <w:tcPr>
            <w:tcW w:w="153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0.0%</w:t>
            </w:r>
          </w:p>
        </w:tc>
        <w:tc>
          <w:tcPr>
            <w:tcW w:w="126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0.0%</w:t>
            </w:r>
          </w:p>
        </w:tc>
        <w:tc>
          <w:tcPr>
            <w:tcW w:w="1295"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0.0</w:t>
            </w:r>
          </w:p>
        </w:tc>
      </w:tr>
      <w:tr w:rsidR="00FD127A" w:rsidRPr="00612923" w:rsidTr="00FD127A">
        <w:trPr>
          <w:trHeight w:val="315"/>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w:t>
            </w:r>
          </w:p>
        </w:tc>
        <w:tc>
          <w:tcPr>
            <w:tcW w:w="153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8.5%</w:t>
            </w:r>
          </w:p>
        </w:tc>
        <w:tc>
          <w:tcPr>
            <w:tcW w:w="126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6.7%</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1.7</w:t>
            </w:r>
          </w:p>
        </w:tc>
      </w:tr>
      <w:tr w:rsidR="00FD127A" w:rsidRPr="00612923" w:rsidTr="00FD127A">
        <w:trPr>
          <w:trHeight w:val="315"/>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w:t>
            </w:r>
          </w:p>
        </w:tc>
        <w:tc>
          <w:tcPr>
            <w:tcW w:w="153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9.8%</w:t>
            </w:r>
          </w:p>
        </w:tc>
        <w:tc>
          <w:tcPr>
            <w:tcW w:w="126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9.5%</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0.3</w:t>
            </w:r>
          </w:p>
        </w:tc>
      </w:tr>
      <w:tr w:rsidR="00FD127A" w:rsidRPr="00612923" w:rsidTr="00FD127A">
        <w:trPr>
          <w:trHeight w:val="315"/>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w:t>
            </w:r>
          </w:p>
        </w:tc>
        <w:tc>
          <w:tcPr>
            <w:tcW w:w="153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40.3%</w:t>
            </w:r>
          </w:p>
        </w:tc>
        <w:tc>
          <w:tcPr>
            <w:tcW w:w="126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50.2%</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-9.9</w:t>
            </w:r>
          </w:p>
        </w:tc>
      </w:tr>
      <w:tr w:rsidR="00FD127A" w:rsidRPr="00612923" w:rsidTr="00FD127A">
        <w:trPr>
          <w:trHeight w:val="315"/>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4</w:t>
            </w:r>
          </w:p>
        </w:tc>
        <w:tc>
          <w:tcPr>
            <w:tcW w:w="153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41.4%</w:t>
            </w:r>
          </w:p>
        </w:tc>
        <w:tc>
          <w:tcPr>
            <w:tcW w:w="126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33.6%</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7.9</w:t>
            </w:r>
          </w:p>
        </w:tc>
      </w:tr>
      <w:tr w:rsidR="00FD127A" w:rsidRPr="00612923" w:rsidTr="00FD127A">
        <w:trPr>
          <w:trHeight w:val="315"/>
          <w:jc w:val="center"/>
        </w:trPr>
        <w:tc>
          <w:tcPr>
            <w:tcW w:w="1278"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Total</w:t>
            </w:r>
          </w:p>
        </w:tc>
        <w:tc>
          <w:tcPr>
            <w:tcW w:w="153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26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100.0%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9832E2">
            <w:pPr>
              <w:pStyle w:val="TableText"/>
            </w:pPr>
            <w:r w:rsidRPr="00612923">
              <w:t>-</w:t>
            </w:r>
          </w:p>
        </w:tc>
      </w:tr>
    </w:tbl>
    <w:p w:rsidR="00FD127A" w:rsidRPr="00612923" w:rsidRDefault="00FD127A" w:rsidP="009832E2">
      <w:pPr>
        <w:pStyle w:val="TableFigureCaption"/>
        <w:spacing w:before="360"/>
      </w:pPr>
      <w:r w:rsidRPr="00612923">
        <w:lastRenderedPageBreak/>
        <w:t>Table 4-21: Distribution of Dually-</w:t>
      </w:r>
      <w:r w:rsidR="008702A8" w:rsidRPr="00612923">
        <w:t>e</w:t>
      </w:r>
      <w:r w:rsidRPr="00612923">
        <w:t xml:space="preserve">nrolled High Responders by </w:t>
      </w:r>
      <w:r w:rsidR="009832E2" w:rsidRPr="00612923">
        <w:br/>
      </w:r>
      <w:r w:rsidRPr="00612923">
        <w:t xml:space="preserve">Number of </w:t>
      </w:r>
      <w:proofErr w:type="gramStart"/>
      <w:r w:rsidRPr="00612923">
        <w:t>Summers</w:t>
      </w:r>
      <w:proofErr w:type="gramEnd"/>
      <w:r w:rsidRPr="00612923">
        <w:t xml:space="preserve"> on SmartRate</w:t>
      </w:r>
    </w:p>
    <w:tbl>
      <w:tblPr>
        <w:tblW w:w="5216" w:type="dxa"/>
        <w:jc w:val="center"/>
        <w:tblInd w:w="93" w:type="dxa"/>
        <w:tblLook w:val="04A0"/>
      </w:tblPr>
      <w:tblGrid>
        <w:gridCol w:w="1217"/>
        <w:gridCol w:w="1454"/>
        <w:gridCol w:w="1250"/>
        <w:gridCol w:w="1295"/>
      </w:tblGrid>
      <w:tr w:rsidR="00FD127A" w:rsidRPr="00612923" w:rsidTr="008702A8">
        <w:trPr>
          <w:trHeight w:val="952"/>
          <w:jc w:val="center"/>
        </w:trPr>
        <w:tc>
          <w:tcPr>
            <w:tcW w:w="1217"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Number of Summers on SmartRate</w:t>
            </w:r>
          </w:p>
        </w:tc>
        <w:tc>
          <w:tcPr>
            <w:tcW w:w="1454"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High Responders</w:t>
            </w:r>
          </w:p>
        </w:tc>
        <w:tc>
          <w:tcPr>
            <w:tcW w:w="125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Full Summer SmartRate Population</w:t>
            </w:r>
          </w:p>
        </w:tc>
        <w:tc>
          <w:tcPr>
            <w:tcW w:w="1295"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pPr>
            <w:r w:rsidRPr="00612923">
              <w:t>Percentage Point Difference</w:t>
            </w:r>
          </w:p>
        </w:tc>
      </w:tr>
      <w:tr w:rsidR="00FD127A" w:rsidRPr="00612923" w:rsidTr="00FD127A">
        <w:trPr>
          <w:trHeight w:val="315"/>
          <w:jc w:val="center"/>
        </w:trPr>
        <w:tc>
          <w:tcPr>
            <w:tcW w:w="121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w:t>
            </w:r>
          </w:p>
        </w:tc>
        <w:tc>
          <w:tcPr>
            <w:tcW w:w="1454"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3.9%</w:t>
            </w:r>
          </w:p>
        </w:tc>
        <w:tc>
          <w:tcPr>
            <w:tcW w:w="125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0.0%</w:t>
            </w:r>
          </w:p>
        </w:tc>
        <w:tc>
          <w:tcPr>
            <w:tcW w:w="1295"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3.9</w:t>
            </w:r>
          </w:p>
        </w:tc>
      </w:tr>
      <w:tr w:rsidR="00FD127A" w:rsidRPr="00612923" w:rsidTr="00FD127A">
        <w:trPr>
          <w:trHeight w:val="315"/>
          <w:jc w:val="center"/>
        </w:trPr>
        <w:tc>
          <w:tcPr>
            <w:tcW w:w="1217"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1</w:t>
            </w:r>
          </w:p>
        </w:tc>
        <w:tc>
          <w:tcPr>
            <w:tcW w:w="1454"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4.5%</w:t>
            </w:r>
          </w:p>
        </w:tc>
        <w:tc>
          <w:tcPr>
            <w:tcW w:w="125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2.4%</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2.1</w:t>
            </w:r>
          </w:p>
        </w:tc>
      </w:tr>
      <w:tr w:rsidR="00FD127A" w:rsidRPr="00612923" w:rsidTr="00FD127A">
        <w:trPr>
          <w:trHeight w:val="315"/>
          <w:jc w:val="center"/>
        </w:trPr>
        <w:tc>
          <w:tcPr>
            <w:tcW w:w="1217"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w:t>
            </w:r>
          </w:p>
        </w:tc>
        <w:tc>
          <w:tcPr>
            <w:tcW w:w="1454"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54.4%</w:t>
            </w:r>
          </w:p>
        </w:tc>
        <w:tc>
          <w:tcPr>
            <w:tcW w:w="125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3.9%</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50.5</w:t>
            </w:r>
          </w:p>
        </w:tc>
      </w:tr>
      <w:tr w:rsidR="00FD127A" w:rsidRPr="00612923" w:rsidTr="00FD127A">
        <w:trPr>
          <w:trHeight w:val="315"/>
          <w:jc w:val="center"/>
        </w:trPr>
        <w:tc>
          <w:tcPr>
            <w:tcW w:w="1217"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w:t>
            </w:r>
          </w:p>
        </w:tc>
        <w:tc>
          <w:tcPr>
            <w:tcW w:w="1454"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37.2%</w:t>
            </w:r>
          </w:p>
        </w:tc>
        <w:tc>
          <w:tcPr>
            <w:tcW w:w="125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57.7%</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-20.5</w:t>
            </w:r>
          </w:p>
        </w:tc>
      </w:tr>
      <w:tr w:rsidR="00FD127A" w:rsidRPr="00612923" w:rsidTr="00FD127A">
        <w:trPr>
          <w:trHeight w:val="315"/>
          <w:jc w:val="center"/>
        </w:trPr>
        <w:tc>
          <w:tcPr>
            <w:tcW w:w="1217"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4</w:t>
            </w:r>
          </w:p>
        </w:tc>
        <w:tc>
          <w:tcPr>
            <w:tcW w:w="1454"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0.4%</w:t>
            </w:r>
          </w:p>
        </w:tc>
        <w:tc>
          <w:tcPr>
            <w:tcW w:w="125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36.0%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pPr>
            <w:r w:rsidRPr="00612923">
              <w:t>-35.6</w:t>
            </w:r>
          </w:p>
        </w:tc>
      </w:tr>
      <w:tr w:rsidR="00FD127A" w:rsidRPr="00612923" w:rsidTr="00FD127A">
        <w:trPr>
          <w:trHeight w:val="315"/>
          <w:jc w:val="center"/>
        </w:trPr>
        <w:tc>
          <w:tcPr>
            <w:tcW w:w="1217"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4441D">
            <w:pPr>
              <w:pStyle w:val="TableText"/>
            </w:pPr>
            <w:r w:rsidRPr="00612923">
              <w:t>Total</w:t>
            </w:r>
          </w:p>
        </w:tc>
        <w:tc>
          <w:tcPr>
            <w:tcW w:w="1454"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4441D">
            <w:pPr>
              <w:pStyle w:val="TableText"/>
            </w:pPr>
            <w:r w:rsidRPr="00612923">
              <w:t>100.0%</w:t>
            </w:r>
          </w:p>
        </w:tc>
        <w:tc>
          <w:tcPr>
            <w:tcW w:w="125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4441D">
            <w:pPr>
              <w:pStyle w:val="TableText"/>
            </w:pPr>
            <w:r w:rsidRPr="00612923">
              <w:t>100.0%</w:t>
            </w:r>
          </w:p>
        </w:tc>
        <w:tc>
          <w:tcPr>
            <w:tcW w:w="1295"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4441D">
            <w:pPr>
              <w:pStyle w:val="TableText"/>
            </w:pPr>
            <w:r w:rsidRPr="00612923">
              <w:t>-</w:t>
            </w:r>
          </w:p>
        </w:tc>
      </w:tr>
    </w:tbl>
    <w:p w:rsidR="00FD127A" w:rsidRPr="00612923" w:rsidRDefault="00FD127A" w:rsidP="00FD127A">
      <w:pPr>
        <w:pStyle w:val="BodyParaAfterTableFigure"/>
      </w:pPr>
      <w:r w:rsidRPr="00612923">
        <w:t>Finally, Table 4-22 shows high responders by their likelihood of having central AC.  There are very few</w:t>
      </w:r>
      <w:r w:rsidR="008702A8" w:rsidRPr="00612923">
        <w:t> </w:t>
      </w:r>
      <w:r w:rsidRPr="00612923">
        <w:t>high responders with CAC likelihood under 75%.  In contrast, 32% of the general SmartRate population falls into those categories.  This finding suggests it would be highly useful for PG&amp;E to target SmartRate marketing to customers with high central AC likelihood and, particularly, customers on SmartAC.</w:t>
      </w:r>
    </w:p>
    <w:p w:rsidR="00FD127A" w:rsidRPr="00612923" w:rsidRDefault="00FD127A" w:rsidP="0024441D">
      <w:pPr>
        <w:pStyle w:val="TableFigureCaption"/>
      </w:pPr>
      <w:r w:rsidRPr="00612923">
        <w:t>Table 4-22: Distribution of High Responders by CAC Likelihood</w:t>
      </w:r>
      <w:r w:rsidRPr="00612923">
        <w:rPr>
          <w:rStyle w:val="FootnoteReference"/>
        </w:rPr>
        <w:footnoteReference w:id="24"/>
      </w:r>
    </w:p>
    <w:tbl>
      <w:tblPr>
        <w:tblW w:w="7140" w:type="dxa"/>
        <w:jc w:val="center"/>
        <w:tblInd w:w="93" w:type="dxa"/>
        <w:tblLook w:val="04A0"/>
      </w:tblPr>
      <w:tblGrid>
        <w:gridCol w:w="1920"/>
        <w:gridCol w:w="1740"/>
        <w:gridCol w:w="1720"/>
        <w:gridCol w:w="1760"/>
      </w:tblGrid>
      <w:tr w:rsidR="00FD127A" w:rsidRPr="00612923" w:rsidTr="00FD127A">
        <w:trPr>
          <w:trHeight w:val="765"/>
          <w:jc w:val="center"/>
        </w:trPr>
        <w:tc>
          <w:tcPr>
            <w:tcW w:w="1920"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CAC Likelihood</w:t>
            </w:r>
          </w:p>
        </w:tc>
        <w:tc>
          <w:tcPr>
            <w:tcW w:w="174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High Responders</w:t>
            </w:r>
          </w:p>
        </w:tc>
        <w:tc>
          <w:tcPr>
            <w:tcW w:w="172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pPr>
            <w:r w:rsidRPr="00612923">
              <w:t>Full Summer SmartRate Population</w:t>
            </w:r>
          </w:p>
        </w:tc>
        <w:tc>
          <w:tcPr>
            <w:tcW w:w="1760"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pPr>
            <w:r w:rsidRPr="00612923">
              <w:t>Percentage Point Difference</w:t>
            </w:r>
          </w:p>
        </w:tc>
      </w:tr>
      <w:tr w:rsidR="00FD127A" w:rsidRPr="00612923" w:rsidTr="00FD127A">
        <w:trPr>
          <w:trHeight w:val="300"/>
          <w:jc w:val="center"/>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0%-25%</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1.8%</w:t>
            </w:r>
          </w:p>
        </w:tc>
        <w:tc>
          <w:tcPr>
            <w:tcW w:w="1720"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17.2%</w:t>
            </w:r>
          </w:p>
        </w:tc>
        <w:tc>
          <w:tcPr>
            <w:tcW w:w="1760" w:type="dxa"/>
            <w:tcBorders>
              <w:top w:val="single" w:sz="4" w:space="0" w:color="auto"/>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-15.4</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25%-50%</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1.4%</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6.2%</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-4.8</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50%-75%</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4.4%</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8.5%</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-4.1</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75%-100%</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68.0%</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48.9%</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19.1</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Dually-Enrolled</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24.4%</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19.2%</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54844">
            <w:pPr>
              <w:pStyle w:val="TableText"/>
              <w:keepNext/>
            </w:pPr>
            <w:r w:rsidRPr="00612923">
              <w:t>5.2</w:t>
            </w:r>
          </w:p>
        </w:tc>
      </w:tr>
      <w:tr w:rsidR="00FD127A" w:rsidRPr="00612923" w:rsidTr="00FD127A">
        <w:trPr>
          <w:trHeight w:val="300"/>
          <w:jc w:val="center"/>
        </w:trPr>
        <w:tc>
          <w:tcPr>
            <w:tcW w:w="1920" w:type="dxa"/>
            <w:tcBorders>
              <w:top w:val="nil"/>
              <w:left w:val="single" w:sz="4" w:space="0" w:color="auto"/>
              <w:bottom w:val="single" w:sz="4" w:space="0" w:color="auto"/>
              <w:right w:val="single" w:sz="4" w:space="0" w:color="auto"/>
            </w:tcBorders>
            <w:shd w:val="clear" w:color="auto" w:fill="auto"/>
            <w:noWrap/>
            <w:vAlign w:val="center"/>
            <w:hideMark/>
          </w:tcPr>
          <w:p w:rsidR="00FD127A" w:rsidRPr="00612923" w:rsidRDefault="00FD127A" w:rsidP="0024441D">
            <w:pPr>
              <w:pStyle w:val="TableText"/>
            </w:pPr>
            <w:r w:rsidRPr="00612923">
              <w:t>Total</w:t>
            </w:r>
          </w:p>
        </w:tc>
        <w:tc>
          <w:tcPr>
            <w:tcW w:w="174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4441D">
            <w:pPr>
              <w:pStyle w:val="TableText"/>
            </w:pPr>
            <w:r w:rsidRPr="00612923">
              <w:t>100.0%</w:t>
            </w:r>
          </w:p>
        </w:tc>
        <w:tc>
          <w:tcPr>
            <w:tcW w:w="172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4441D">
            <w:pPr>
              <w:pStyle w:val="TableText"/>
            </w:pPr>
            <w:r w:rsidRPr="00612923">
              <w:t>100.0%</w:t>
            </w:r>
          </w:p>
        </w:tc>
        <w:tc>
          <w:tcPr>
            <w:tcW w:w="1760" w:type="dxa"/>
            <w:tcBorders>
              <w:top w:val="nil"/>
              <w:left w:val="nil"/>
              <w:bottom w:val="single" w:sz="4" w:space="0" w:color="auto"/>
              <w:right w:val="single" w:sz="4" w:space="0" w:color="auto"/>
            </w:tcBorders>
            <w:shd w:val="clear" w:color="auto" w:fill="auto"/>
            <w:noWrap/>
            <w:vAlign w:val="center"/>
            <w:hideMark/>
          </w:tcPr>
          <w:p w:rsidR="00FD127A" w:rsidRPr="00612923" w:rsidRDefault="00FD127A" w:rsidP="0024441D">
            <w:pPr>
              <w:pStyle w:val="TableText"/>
            </w:pPr>
            <w:r w:rsidRPr="00612923">
              <w:t>-</w:t>
            </w:r>
          </w:p>
        </w:tc>
      </w:tr>
    </w:tbl>
    <w:p w:rsidR="00FD127A" w:rsidRPr="00612923" w:rsidRDefault="00FD127A" w:rsidP="00FD127A">
      <w:pPr>
        <w:pStyle w:val="BodyBeforeBullet"/>
        <w:spacing w:before="360"/>
      </w:pPr>
      <w:r w:rsidRPr="00612923">
        <w:t xml:space="preserve">In exploring the characteristics of high responding customers, there are a few important takeaways.  Customers with the following attributes are much more likely to be high responders: </w:t>
      </w:r>
    </w:p>
    <w:p w:rsidR="00FD127A" w:rsidRPr="00612923" w:rsidRDefault="00FD127A" w:rsidP="00FD127A">
      <w:pPr>
        <w:pStyle w:val="Bullets"/>
      </w:pPr>
      <w:r w:rsidRPr="00612923">
        <w:t xml:space="preserve">Non-CARE customers; </w:t>
      </w:r>
    </w:p>
    <w:p w:rsidR="00FD127A" w:rsidRPr="00612923" w:rsidRDefault="00FD127A" w:rsidP="00FD127A">
      <w:pPr>
        <w:pStyle w:val="Bullets"/>
      </w:pPr>
      <w:r w:rsidRPr="00612923">
        <w:t>Customers in hotter LCAs, such as Kern and Sierra;</w:t>
      </w:r>
    </w:p>
    <w:p w:rsidR="00FD127A" w:rsidRPr="00612923" w:rsidRDefault="00FD127A" w:rsidP="00FD127A">
      <w:pPr>
        <w:pStyle w:val="Bullets"/>
      </w:pPr>
      <w:r w:rsidRPr="00612923">
        <w:t>Customers with higher-than-average usage; and</w:t>
      </w:r>
    </w:p>
    <w:p w:rsidR="00FD127A" w:rsidRPr="00612923" w:rsidRDefault="00FD127A" w:rsidP="00FD127A">
      <w:pPr>
        <w:pStyle w:val="BulletLast"/>
      </w:pPr>
      <w:r w:rsidRPr="00612923">
        <w:t>Customers with central AC likelihoods of 75% or more.</w:t>
      </w:r>
    </w:p>
    <w:p w:rsidR="00FD127A" w:rsidRPr="00612923" w:rsidRDefault="00FD127A" w:rsidP="0024441D">
      <w:pPr>
        <w:pStyle w:val="Heading2"/>
      </w:pPr>
      <w:bookmarkStart w:id="50" w:name="_Toc326154568"/>
      <w:bookmarkStart w:id="51" w:name="_Toc318628463"/>
      <w:bookmarkStart w:id="52" w:name="_Toc325386183"/>
      <w:bookmarkStart w:id="53" w:name="_Toc349193895"/>
      <w:bookmarkStart w:id="54" w:name="_Toc352567305"/>
      <w:r w:rsidRPr="00612923">
        <w:lastRenderedPageBreak/>
        <w:t>SmartRate Bill Impacts</w:t>
      </w:r>
      <w:bookmarkEnd w:id="54"/>
    </w:p>
    <w:p w:rsidR="00FD127A" w:rsidRPr="00612923" w:rsidRDefault="00FD127A" w:rsidP="00FD127A">
      <w:pPr>
        <w:pStyle w:val="BodyParagraph"/>
      </w:pPr>
      <w:r w:rsidRPr="00612923">
        <w:t>Individual customer bills were estimated for SmartRate customers under SmartRate and the otherwise applicable tariff (OAT) using monthly usage data in order to quantify how much each customer saves or loses by being on SmartRate.  For approximately 75% of SmartRate customers, the OAT is E-1.</w:t>
      </w:r>
      <w:r w:rsidRPr="00612923">
        <w:rPr>
          <w:rStyle w:val="FootnoteReference"/>
        </w:rPr>
        <w:footnoteReference w:id="25"/>
      </w:r>
      <w:r w:rsidRPr="00612923">
        <w:t xml:space="preserve">  Although about 75% of SmartRate customers are bill protected, they are still included in this analysis because bill protection was not found to be related to the magnitude of impacts (see Section 4.2.5).  Because SmartRate is an overlay onto each customer’s already existing rate, savings and losses were estimated using SmartMeter data to calculate SmartRate credits and losses for each month and over the whole summer.  The SmartRate bills are based on actual PG&amp;E bills, which are available on a monthly basis according to when meters are read.  In this analysis, for reporting purposes, bills are assigned to each month based on the date of the billing cycle.</w:t>
      </w:r>
    </w:p>
    <w:p w:rsidR="00FD127A" w:rsidRPr="00612923" w:rsidRDefault="00FD127A" w:rsidP="00FD127A">
      <w:pPr>
        <w:pStyle w:val="BodyBeforeBullet"/>
      </w:pPr>
      <w:r w:rsidRPr="00612923">
        <w:t xml:space="preserve">Table 4-23 shows the distribution of customer savings on SmartRate compared to what they would have spent on the OAT.  </w:t>
      </w:r>
      <w:r w:rsidR="008702A8" w:rsidRPr="00612923">
        <w:t xml:space="preserve">Three </w:t>
      </w:r>
      <w:r w:rsidRPr="00612923">
        <w:t>points are noteworthy:</w:t>
      </w:r>
    </w:p>
    <w:p w:rsidR="00FD127A" w:rsidRPr="00612923" w:rsidRDefault="00FD127A" w:rsidP="0024441D">
      <w:pPr>
        <w:pStyle w:val="Bullets"/>
      </w:pPr>
      <w:r w:rsidRPr="00612923">
        <w:t xml:space="preserve">Between June and October, SmartRate customers saved an average of $67 (12%) compared to bills under the OAT; </w:t>
      </w:r>
    </w:p>
    <w:p w:rsidR="00FD127A" w:rsidRPr="00612923" w:rsidRDefault="00FD127A" w:rsidP="0024441D">
      <w:pPr>
        <w:pStyle w:val="Bullets"/>
      </w:pPr>
      <w:r w:rsidRPr="00612923">
        <w:t>Savings were highest in June and August because customers receive rate credits those months and experienced no events; and</w:t>
      </w:r>
    </w:p>
    <w:p w:rsidR="00FD127A" w:rsidRPr="00612923" w:rsidRDefault="00FD127A" w:rsidP="0024441D">
      <w:pPr>
        <w:pStyle w:val="BulletLast"/>
      </w:pPr>
      <w:r w:rsidRPr="00612923">
        <w:t>Overall savings were quite a bit higher than in 2011 ($67 compared to $27 in 2011)</w:t>
      </w:r>
      <w:r w:rsidR="008702A8" w:rsidRPr="00612923">
        <w:t>,</w:t>
      </w:r>
      <w:r w:rsidRPr="00612923">
        <w:t xml:space="preserve"> which is at least partially due to their only being 10 events in 2012 as opposed to 15 in 2011.</w:t>
      </w:r>
    </w:p>
    <w:p w:rsidR="00FD127A" w:rsidRPr="00612923" w:rsidRDefault="00FD127A" w:rsidP="00FD127A">
      <w:pPr>
        <w:pStyle w:val="TableFigureCaption"/>
      </w:pPr>
      <w:bookmarkStart w:id="55" w:name="_Ref286766577"/>
      <w:r w:rsidRPr="00612923">
        <w:t>Table</w:t>
      </w:r>
      <w:bookmarkEnd w:id="55"/>
      <w:r w:rsidRPr="00612923">
        <w:t xml:space="preserve"> 4-23: SmartRate Customer Savings by Month</w:t>
      </w:r>
    </w:p>
    <w:tbl>
      <w:tblPr>
        <w:tblW w:w="6720"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0"/>
        <w:gridCol w:w="1500"/>
        <w:gridCol w:w="983"/>
        <w:gridCol w:w="983"/>
        <w:gridCol w:w="1180"/>
      </w:tblGrid>
      <w:tr w:rsidR="00FD127A" w:rsidRPr="00612923" w:rsidTr="0024441D">
        <w:trPr>
          <w:trHeight w:val="564"/>
          <w:jc w:val="center"/>
        </w:trPr>
        <w:tc>
          <w:tcPr>
            <w:tcW w:w="2120" w:type="dxa"/>
            <w:tcBorders>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Month</w:t>
            </w:r>
          </w:p>
        </w:tc>
        <w:tc>
          <w:tcPr>
            <w:tcW w:w="150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Average SMR Bill</w:t>
            </w:r>
          </w:p>
        </w:tc>
        <w:tc>
          <w:tcPr>
            <w:tcW w:w="96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Savings</w:t>
            </w:r>
          </w:p>
        </w:tc>
        <w:tc>
          <w:tcPr>
            <w:tcW w:w="96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Savings</w:t>
            </w:r>
          </w:p>
        </w:tc>
        <w:tc>
          <w:tcPr>
            <w:tcW w:w="1180" w:type="dxa"/>
            <w:tcBorders>
              <w:lef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Winners</w:t>
            </w:r>
          </w:p>
        </w:tc>
      </w:tr>
      <w:tr w:rsidR="00FD127A" w:rsidRPr="00612923" w:rsidTr="0024441D">
        <w:trPr>
          <w:trHeight w:val="300"/>
          <w:jc w:val="center"/>
        </w:trPr>
        <w:tc>
          <w:tcPr>
            <w:tcW w:w="212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June thru October</w:t>
            </w:r>
          </w:p>
        </w:tc>
        <w:tc>
          <w:tcPr>
            <w:tcW w:w="150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 xml:space="preserve">$493 </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w:t>
            </w:r>
            <w:r w:rsidR="003C2457" w:rsidRPr="00612923">
              <w:rPr>
                <w:lang w:eastAsia="ko-KR"/>
              </w:rPr>
              <w:t>74</w:t>
            </w:r>
            <w:r w:rsidRPr="00612923">
              <w:rPr>
                <w:lang w:eastAsia="ko-KR"/>
              </w:rPr>
              <w:t xml:space="preserve"> </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1</w:t>
            </w:r>
            <w:r w:rsidR="007C3A6C" w:rsidRPr="00612923">
              <w:rPr>
                <w:lang w:eastAsia="ko-KR"/>
              </w:rPr>
              <w:t>3</w:t>
            </w:r>
            <w:r w:rsidRPr="00612923">
              <w:rPr>
                <w:lang w:eastAsia="ko-KR"/>
              </w:rPr>
              <w:t>%</w:t>
            </w:r>
          </w:p>
        </w:tc>
        <w:tc>
          <w:tcPr>
            <w:tcW w:w="118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94%</w:t>
            </w:r>
          </w:p>
        </w:tc>
      </w:tr>
      <w:tr w:rsidR="00FD127A" w:rsidRPr="00612923" w:rsidTr="0024441D">
        <w:trPr>
          <w:trHeight w:val="300"/>
          <w:jc w:val="center"/>
        </w:trPr>
        <w:tc>
          <w:tcPr>
            <w:tcW w:w="212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June</w:t>
            </w:r>
          </w:p>
        </w:tc>
        <w:tc>
          <w:tcPr>
            <w:tcW w:w="150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 xml:space="preserve">$80 </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$22</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22%</w:t>
            </w:r>
          </w:p>
        </w:tc>
        <w:tc>
          <w:tcPr>
            <w:tcW w:w="118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100%</w:t>
            </w:r>
          </w:p>
        </w:tc>
      </w:tr>
      <w:tr w:rsidR="00FD127A" w:rsidRPr="00612923" w:rsidTr="0024441D">
        <w:trPr>
          <w:trHeight w:val="300"/>
          <w:jc w:val="center"/>
        </w:trPr>
        <w:tc>
          <w:tcPr>
            <w:tcW w:w="212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July</w:t>
            </w:r>
          </w:p>
        </w:tc>
        <w:tc>
          <w:tcPr>
            <w:tcW w:w="150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 xml:space="preserve">$123 </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$8</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6%</w:t>
            </w:r>
          </w:p>
        </w:tc>
        <w:tc>
          <w:tcPr>
            <w:tcW w:w="118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82%</w:t>
            </w:r>
          </w:p>
        </w:tc>
      </w:tr>
      <w:tr w:rsidR="00FD127A" w:rsidRPr="00612923" w:rsidTr="0024441D">
        <w:trPr>
          <w:trHeight w:val="300"/>
          <w:jc w:val="center"/>
        </w:trPr>
        <w:tc>
          <w:tcPr>
            <w:tcW w:w="212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August</w:t>
            </w:r>
          </w:p>
        </w:tc>
        <w:tc>
          <w:tcPr>
            <w:tcW w:w="150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 xml:space="preserve">$116 </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$27</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19%</w:t>
            </w:r>
          </w:p>
        </w:tc>
        <w:tc>
          <w:tcPr>
            <w:tcW w:w="118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100%</w:t>
            </w:r>
          </w:p>
        </w:tc>
      </w:tr>
      <w:tr w:rsidR="00FD127A" w:rsidRPr="00612923" w:rsidTr="0024441D">
        <w:trPr>
          <w:trHeight w:val="300"/>
          <w:jc w:val="center"/>
        </w:trPr>
        <w:tc>
          <w:tcPr>
            <w:tcW w:w="212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September</w:t>
            </w:r>
          </w:p>
        </w:tc>
        <w:tc>
          <w:tcPr>
            <w:tcW w:w="150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 xml:space="preserve">$95 </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$10</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10%</w:t>
            </w:r>
          </w:p>
        </w:tc>
        <w:tc>
          <w:tcPr>
            <w:tcW w:w="118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94%</w:t>
            </w:r>
          </w:p>
        </w:tc>
      </w:tr>
      <w:tr w:rsidR="00FD127A" w:rsidRPr="00612923" w:rsidTr="0024441D">
        <w:trPr>
          <w:trHeight w:val="300"/>
          <w:jc w:val="center"/>
        </w:trPr>
        <w:tc>
          <w:tcPr>
            <w:tcW w:w="2120" w:type="dxa"/>
            <w:shd w:val="clear" w:color="auto" w:fill="auto"/>
            <w:noWrap/>
            <w:vAlign w:val="bottom"/>
            <w:hideMark/>
          </w:tcPr>
          <w:p w:rsidR="00FD127A" w:rsidRPr="00612923" w:rsidRDefault="00FD127A" w:rsidP="0024441D">
            <w:pPr>
              <w:pStyle w:val="TableText"/>
              <w:rPr>
                <w:lang w:eastAsia="ko-KR"/>
              </w:rPr>
            </w:pPr>
            <w:r w:rsidRPr="00612923">
              <w:rPr>
                <w:lang w:eastAsia="ko-KR"/>
              </w:rPr>
              <w:t>October</w:t>
            </w:r>
          </w:p>
        </w:tc>
        <w:tc>
          <w:tcPr>
            <w:tcW w:w="1500" w:type="dxa"/>
            <w:shd w:val="clear" w:color="auto" w:fill="auto"/>
            <w:noWrap/>
            <w:vAlign w:val="bottom"/>
            <w:hideMark/>
          </w:tcPr>
          <w:p w:rsidR="00FD127A" w:rsidRPr="00612923" w:rsidRDefault="00FD127A" w:rsidP="0024441D">
            <w:pPr>
              <w:pStyle w:val="TableText"/>
              <w:rPr>
                <w:lang w:eastAsia="ko-KR"/>
              </w:rPr>
            </w:pPr>
            <w:r w:rsidRPr="00612923">
              <w:rPr>
                <w:lang w:eastAsia="ko-KR"/>
              </w:rPr>
              <w:t xml:space="preserve">$79 </w:t>
            </w:r>
          </w:p>
        </w:tc>
        <w:tc>
          <w:tcPr>
            <w:tcW w:w="960" w:type="dxa"/>
            <w:shd w:val="clear" w:color="auto" w:fill="auto"/>
            <w:vAlign w:val="bottom"/>
            <w:hideMark/>
          </w:tcPr>
          <w:p w:rsidR="00FD127A" w:rsidRPr="00612923" w:rsidRDefault="00FD127A" w:rsidP="0024441D">
            <w:pPr>
              <w:pStyle w:val="TableText"/>
              <w:rPr>
                <w:lang w:eastAsia="ko-KR"/>
              </w:rPr>
            </w:pPr>
            <w:r w:rsidRPr="00612923">
              <w:rPr>
                <w:lang w:eastAsia="ko-KR"/>
              </w:rPr>
              <w:t>$6</w:t>
            </w:r>
          </w:p>
        </w:tc>
        <w:tc>
          <w:tcPr>
            <w:tcW w:w="960" w:type="dxa"/>
            <w:shd w:val="clear" w:color="auto" w:fill="auto"/>
            <w:noWrap/>
            <w:vAlign w:val="bottom"/>
            <w:hideMark/>
          </w:tcPr>
          <w:p w:rsidR="00FD127A" w:rsidRPr="00612923" w:rsidRDefault="00FD127A" w:rsidP="0024441D">
            <w:pPr>
              <w:pStyle w:val="TableText"/>
              <w:rPr>
                <w:lang w:eastAsia="ko-KR"/>
              </w:rPr>
            </w:pPr>
            <w:r w:rsidRPr="00612923">
              <w:rPr>
                <w:lang w:eastAsia="ko-KR"/>
              </w:rPr>
              <w:t>8%</w:t>
            </w:r>
          </w:p>
        </w:tc>
        <w:tc>
          <w:tcPr>
            <w:tcW w:w="1180" w:type="dxa"/>
            <w:shd w:val="clear" w:color="auto" w:fill="auto"/>
            <w:noWrap/>
            <w:vAlign w:val="center"/>
            <w:hideMark/>
          </w:tcPr>
          <w:p w:rsidR="00FD127A" w:rsidRPr="00612923" w:rsidRDefault="00FD127A" w:rsidP="0024441D">
            <w:pPr>
              <w:pStyle w:val="TableText"/>
              <w:rPr>
                <w:lang w:eastAsia="ko-KR"/>
              </w:rPr>
            </w:pPr>
            <w:r w:rsidRPr="00612923">
              <w:rPr>
                <w:lang w:eastAsia="ko-KR"/>
              </w:rPr>
              <w:t>83%</w:t>
            </w:r>
          </w:p>
        </w:tc>
      </w:tr>
    </w:tbl>
    <w:p w:rsidR="00FD127A" w:rsidRPr="00612923" w:rsidRDefault="00FD127A" w:rsidP="00FD127A">
      <w:pPr>
        <w:pStyle w:val="BodyParaAfterTableFigure"/>
      </w:pPr>
      <w:r w:rsidRPr="00612923">
        <w:t>Table 4-24 shows bill savings estimates by local capacity area (LCA).  Average savings are highest for customers in the Kern LCA.  They saved an average of $99 from May through October 2012.  Greater Bay Area, Greater Fresno</w:t>
      </w:r>
      <w:r w:rsidR="002A56EA">
        <w:t>, Northern Coast,</w:t>
      </w:r>
      <w:r w:rsidRPr="00612923">
        <w:t xml:space="preserve"> and Other LCAs have similar percent savings although they have lower actual savings.  The </w:t>
      </w:r>
      <w:r w:rsidR="002A56EA">
        <w:t>Northern Coast</w:t>
      </w:r>
      <w:r w:rsidRPr="00612923">
        <w:t xml:space="preserve"> LCA has the lowest absolute impact and the Sierra and Stockton LCAs have</w:t>
      </w:r>
      <w:r w:rsidR="008702A8" w:rsidRPr="00612923">
        <w:t> </w:t>
      </w:r>
      <w:r w:rsidRPr="00612923">
        <w:t>the lowest percent impacts, but customers still saved money on SmartRate compared to the</w:t>
      </w:r>
      <w:r w:rsidR="008702A8" w:rsidRPr="00612923">
        <w:t> </w:t>
      </w:r>
      <w:r w:rsidRPr="00612923">
        <w:t>OAT.</w:t>
      </w:r>
    </w:p>
    <w:p w:rsidR="00FD127A" w:rsidRDefault="00FD127A" w:rsidP="00FD127A">
      <w:pPr>
        <w:pStyle w:val="TableFigureCaption"/>
      </w:pPr>
      <w:r w:rsidRPr="00612923">
        <w:lastRenderedPageBreak/>
        <w:t xml:space="preserve">Table 4-24: SmartRate Customer Percent Winners and Savings by LCA </w:t>
      </w:r>
    </w:p>
    <w:tbl>
      <w:tblPr>
        <w:tblW w:w="6900" w:type="dxa"/>
        <w:jc w:val="center"/>
        <w:tblInd w:w="95" w:type="dxa"/>
        <w:tblLook w:val="04A0"/>
      </w:tblPr>
      <w:tblGrid>
        <w:gridCol w:w="1760"/>
        <w:gridCol w:w="1261"/>
        <w:gridCol w:w="1120"/>
        <w:gridCol w:w="983"/>
        <w:gridCol w:w="983"/>
        <w:gridCol w:w="1005"/>
      </w:tblGrid>
      <w:tr w:rsidR="00993AB7" w:rsidRPr="00993AB7" w:rsidTr="00993AB7">
        <w:trPr>
          <w:trHeight w:val="816"/>
          <w:jc w:val="center"/>
        </w:trPr>
        <w:tc>
          <w:tcPr>
            <w:tcW w:w="1760" w:type="dxa"/>
            <w:tcBorders>
              <w:top w:val="single" w:sz="8" w:space="0" w:color="auto"/>
              <w:left w:val="single" w:sz="8" w:space="0" w:color="auto"/>
              <w:bottom w:val="single" w:sz="8" w:space="0" w:color="auto"/>
              <w:right w:val="single" w:sz="8" w:space="0" w:color="FFFFFF"/>
            </w:tcBorders>
            <w:shd w:val="clear" w:color="000000" w:fill="1F497D"/>
            <w:vAlign w:val="center"/>
            <w:hideMark/>
          </w:tcPr>
          <w:p w:rsidR="00993AB7" w:rsidRPr="00993AB7" w:rsidRDefault="00993AB7" w:rsidP="00254844">
            <w:pPr>
              <w:keepNext/>
              <w:spacing w:after="0" w:line="240" w:lineRule="auto"/>
              <w:jc w:val="center"/>
              <w:rPr>
                <w:rFonts w:ascii="Arial" w:eastAsia="Times New Roman" w:hAnsi="Arial" w:cs="Arial"/>
                <w:b/>
                <w:bCs/>
                <w:color w:val="FFFFFF"/>
                <w:sz w:val="20"/>
                <w:szCs w:val="20"/>
                <w:lang w:eastAsia="ko-KR"/>
              </w:rPr>
            </w:pPr>
            <w:r w:rsidRPr="00993AB7">
              <w:rPr>
                <w:rFonts w:ascii="Arial" w:eastAsia="Times New Roman" w:hAnsi="Arial" w:cs="Arial"/>
                <w:b/>
                <w:bCs/>
                <w:color w:val="FFFFFF"/>
                <w:sz w:val="20"/>
                <w:szCs w:val="20"/>
                <w:lang w:eastAsia="ko-KR"/>
              </w:rPr>
              <w:t>LCA</w:t>
            </w:r>
          </w:p>
        </w:tc>
        <w:tc>
          <w:tcPr>
            <w:tcW w:w="1140" w:type="dxa"/>
            <w:tcBorders>
              <w:top w:val="single" w:sz="8" w:space="0" w:color="auto"/>
              <w:left w:val="nil"/>
              <w:bottom w:val="nil"/>
              <w:right w:val="nil"/>
            </w:tcBorders>
            <w:shd w:val="clear" w:color="000000" w:fill="1F497D"/>
            <w:vAlign w:val="center"/>
            <w:hideMark/>
          </w:tcPr>
          <w:p w:rsidR="00993AB7" w:rsidRPr="00993AB7" w:rsidRDefault="00993AB7" w:rsidP="00254844">
            <w:pPr>
              <w:keepNext/>
              <w:spacing w:after="0" w:line="240" w:lineRule="auto"/>
              <w:jc w:val="center"/>
              <w:rPr>
                <w:rFonts w:ascii="Arial" w:eastAsia="Times New Roman" w:hAnsi="Arial" w:cs="Arial"/>
                <w:b/>
                <w:bCs/>
                <w:color w:val="FFFFFF"/>
                <w:sz w:val="20"/>
                <w:szCs w:val="20"/>
                <w:lang w:eastAsia="ko-KR"/>
              </w:rPr>
            </w:pPr>
            <w:r w:rsidRPr="00993AB7">
              <w:rPr>
                <w:rFonts w:ascii="Arial" w:eastAsia="Times New Roman" w:hAnsi="Arial" w:cs="Arial"/>
                <w:b/>
                <w:bCs/>
                <w:color w:val="FFFFFF"/>
                <w:sz w:val="20"/>
                <w:szCs w:val="20"/>
                <w:lang w:eastAsia="ko-KR"/>
              </w:rPr>
              <w:t># of Customers</w:t>
            </w:r>
          </w:p>
        </w:tc>
        <w:tc>
          <w:tcPr>
            <w:tcW w:w="1120" w:type="dxa"/>
            <w:tcBorders>
              <w:top w:val="single" w:sz="8" w:space="0" w:color="auto"/>
              <w:left w:val="single" w:sz="8" w:space="0" w:color="FFFFFF"/>
              <w:bottom w:val="single" w:sz="8" w:space="0" w:color="auto"/>
              <w:right w:val="single" w:sz="8" w:space="0" w:color="FFFFFF"/>
            </w:tcBorders>
            <w:shd w:val="clear" w:color="000000" w:fill="1F497D"/>
            <w:vAlign w:val="center"/>
            <w:hideMark/>
          </w:tcPr>
          <w:p w:rsidR="00993AB7" w:rsidRPr="00993AB7" w:rsidRDefault="00993AB7" w:rsidP="00254844">
            <w:pPr>
              <w:keepNext/>
              <w:spacing w:after="0" w:line="240" w:lineRule="auto"/>
              <w:jc w:val="center"/>
              <w:rPr>
                <w:rFonts w:ascii="Arial" w:eastAsia="Times New Roman" w:hAnsi="Arial" w:cs="Arial"/>
                <w:b/>
                <w:bCs/>
                <w:color w:val="FFFFFF"/>
                <w:sz w:val="20"/>
                <w:szCs w:val="20"/>
                <w:lang w:eastAsia="ko-KR"/>
              </w:rPr>
            </w:pPr>
            <w:r w:rsidRPr="00993AB7">
              <w:rPr>
                <w:rFonts w:ascii="Arial" w:eastAsia="Times New Roman" w:hAnsi="Arial" w:cs="Arial"/>
                <w:b/>
                <w:bCs/>
                <w:color w:val="FFFFFF"/>
                <w:sz w:val="20"/>
                <w:szCs w:val="20"/>
                <w:lang w:eastAsia="ko-KR"/>
              </w:rPr>
              <w:t>Total Summer SMR Bill</w:t>
            </w:r>
          </w:p>
        </w:tc>
        <w:tc>
          <w:tcPr>
            <w:tcW w:w="960" w:type="dxa"/>
            <w:tcBorders>
              <w:top w:val="single" w:sz="8" w:space="0" w:color="auto"/>
              <w:left w:val="nil"/>
              <w:bottom w:val="single" w:sz="8" w:space="0" w:color="auto"/>
              <w:right w:val="single" w:sz="8" w:space="0" w:color="FFFFFF"/>
            </w:tcBorders>
            <w:shd w:val="clear" w:color="000000" w:fill="1F497D"/>
            <w:vAlign w:val="center"/>
            <w:hideMark/>
          </w:tcPr>
          <w:p w:rsidR="00993AB7" w:rsidRPr="00993AB7" w:rsidRDefault="00993AB7" w:rsidP="00254844">
            <w:pPr>
              <w:keepNext/>
              <w:spacing w:after="0" w:line="240" w:lineRule="auto"/>
              <w:jc w:val="center"/>
              <w:rPr>
                <w:rFonts w:ascii="Arial" w:eastAsia="Times New Roman" w:hAnsi="Arial" w:cs="Arial"/>
                <w:b/>
                <w:bCs/>
                <w:color w:val="FFFFFF"/>
                <w:sz w:val="20"/>
                <w:szCs w:val="20"/>
                <w:lang w:eastAsia="ko-KR"/>
              </w:rPr>
            </w:pPr>
            <w:r w:rsidRPr="00993AB7">
              <w:rPr>
                <w:rFonts w:ascii="Arial" w:eastAsia="Times New Roman" w:hAnsi="Arial" w:cs="Arial"/>
                <w:b/>
                <w:bCs/>
                <w:color w:val="FFFFFF"/>
                <w:sz w:val="20"/>
                <w:szCs w:val="20"/>
                <w:lang w:eastAsia="ko-KR"/>
              </w:rPr>
              <w:t>Savings</w:t>
            </w:r>
          </w:p>
        </w:tc>
        <w:tc>
          <w:tcPr>
            <w:tcW w:w="960" w:type="dxa"/>
            <w:tcBorders>
              <w:top w:val="single" w:sz="8" w:space="0" w:color="auto"/>
              <w:left w:val="nil"/>
              <w:bottom w:val="single" w:sz="8" w:space="0" w:color="auto"/>
              <w:right w:val="nil"/>
            </w:tcBorders>
            <w:shd w:val="clear" w:color="000000" w:fill="1F497D"/>
            <w:vAlign w:val="center"/>
            <w:hideMark/>
          </w:tcPr>
          <w:p w:rsidR="00993AB7" w:rsidRPr="00993AB7" w:rsidRDefault="00993AB7" w:rsidP="00254844">
            <w:pPr>
              <w:keepNext/>
              <w:spacing w:after="0" w:line="240" w:lineRule="auto"/>
              <w:jc w:val="center"/>
              <w:rPr>
                <w:rFonts w:ascii="Arial" w:eastAsia="Times New Roman" w:hAnsi="Arial" w:cs="Arial"/>
                <w:b/>
                <w:bCs/>
                <w:color w:val="FFFFFF"/>
                <w:sz w:val="20"/>
                <w:szCs w:val="20"/>
                <w:lang w:eastAsia="ko-KR"/>
              </w:rPr>
            </w:pPr>
            <w:r w:rsidRPr="00993AB7">
              <w:rPr>
                <w:rFonts w:ascii="Arial" w:eastAsia="Times New Roman" w:hAnsi="Arial" w:cs="Arial"/>
                <w:b/>
                <w:bCs/>
                <w:color w:val="FFFFFF"/>
                <w:sz w:val="20"/>
                <w:szCs w:val="20"/>
                <w:lang w:eastAsia="ko-KR"/>
              </w:rPr>
              <w:t>% Savings</w:t>
            </w:r>
          </w:p>
        </w:tc>
        <w:tc>
          <w:tcPr>
            <w:tcW w:w="960" w:type="dxa"/>
            <w:tcBorders>
              <w:top w:val="single" w:sz="8" w:space="0" w:color="auto"/>
              <w:left w:val="single" w:sz="8" w:space="0" w:color="FFFFFF"/>
              <w:bottom w:val="single" w:sz="8" w:space="0" w:color="auto"/>
              <w:right w:val="single" w:sz="8" w:space="0" w:color="auto"/>
            </w:tcBorders>
            <w:shd w:val="clear" w:color="000000" w:fill="1F497D"/>
            <w:vAlign w:val="center"/>
            <w:hideMark/>
          </w:tcPr>
          <w:p w:rsidR="00993AB7" w:rsidRPr="00993AB7" w:rsidRDefault="00993AB7" w:rsidP="00254844">
            <w:pPr>
              <w:keepNext/>
              <w:spacing w:after="0" w:line="240" w:lineRule="auto"/>
              <w:jc w:val="center"/>
              <w:rPr>
                <w:rFonts w:ascii="Arial" w:eastAsia="Times New Roman" w:hAnsi="Arial" w:cs="Arial"/>
                <w:b/>
                <w:bCs/>
                <w:color w:val="FFFFFF"/>
                <w:sz w:val="20"/>
                <w:szCs w:val="20"/>
                <w:lang w:eastAsia="ko-KR"/>
              </w:rPr>
            </w:pPr>
            <w:r w:rsidRPr="00993AB7">
              <w:rPr>
                <w:rFonts w:ascii="Arial" w:eastAsia="Times New Roman" w:hAnsi="Arial" w:cs="Arial"/>
                <w:b/>
                <w:bCs/>
                <w:color w:val="FFFFFF"/>
                <w:sz w:val="20"/>
                <w:szCs w:val="20"/>
                <w:lang w:eastAsia="ko-KR"/>
              </w:rPr>
              <w:t>% Winners</w:t>
            </w:r>
          </w:p>
        </w:tc>
      </w:tr>
      <w:tr w:rsidR="00993AB7" w:rsidRPr="00993AB7" w:rsidTr="00993AB7">
        <w:trPr>
          <w:trHeight w:val="300"/>
          <w:jc w:val="center"/>
        </w:trPr>
        <w:tc>
          <w:tcPr>
            <w:tcW w:w="1760" w:type="dxa"/>
            <w:tcBorders>
              <w:top w:val="nil"/>
              <w:left w:val="single" w:sz="8" w:space="0" w:color="auto"/>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Greater Bay Area</w:t>
            </w:r>
          </w:p>
        </w:tc>
        <w:tc>
          <w:tcPr>
            <w:tcW w:w="1140" w:type="dxa"/>
            <w:tcBorders>
              <w:top w:val="single" w:sz="8" w:space="0" w:color="auto"/>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32,713</w:t>
            </w:r>
          </w:p>
        </w:tc>
        <w:tc>
          <w:tcPr>
            <w:tcW w:w="112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$376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$57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13%</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97%</w:t>
            </w:r>
          </w:p>
        </w:tc>
      </w:tr>
      <w:tr w:rsidR="00993AB7" w:rsidRPr="00993AB7" w:rsidTr="00993AB7">
        <w:trPr>
          <w:trHeight w:val="300"/>
          <w:jc w:val="center"/>
        </w:trPr>
        <w:tc>
          <w:tcPr>
            <w:tcW w:w="1760" w:type="dxa"/>
            <w:tcBorders>
              <w:top w:val="nil"/>
              <w:left w:val="single" w:sz="8" w:space="0" w:color="auto"/>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Greater Fresno</w:t>
            </w:r>
          </w:p>
        </w:tc>
        <w:tc>
          <w:tcPr>
            <w:tcW w:w="114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8,180</w:t>
            </w:r>
          </w:p>
        </w:tc>
        <w:tc>
          <w:tcPr>
            <w:tcW w:w="112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$617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$90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13%</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85%</w:t>
            </w:r>
          </w:p>
        </w:tc>
      </w:tr>
      <w:tr w:rsidR="00993AB7" w:rsidRPr="00993AB7" w:rsidTr="00993AB7">
        <w:trPr>
          <w:trHeight w:val="300"/>
          <w:jc w:val="center"/>
        </w:trPr>
        <w:tc>
          <w:tcPr>
            <w:tcW w:w="1760" w:type="dxa"/>
            <w:tcBorders>
              <w:top w:val="nil"/>
              <w:left w:val="single" w:sz="8" w:space="0" w:color="auto"/>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Kern</w:t>
            </w:r>
          </w:p>
        </w:tc>
        <w:tc>
          <w:tcPr>
            <w:tcW w:w="114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7,173</w:t>
            </w:r>
          </w:p>
        </w:tc>
        <w:tc>
          <w:tcPr>
            <w:tcW w:w="112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$654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$99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13%</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84%</w:t>
            </w:r>
          </w:p>
        </w:tc>
      </w:tr>
      <w:tr w:rsidR="00993AB7" w:rsidRPr="00993AB7" w:rsidTr="00993AB7">
        <w:trPr>
          <w:trHeight w:val="300"/>
          <w:jc w:val="center"/>
        </w:trPr>
        <w:tc>
          <w:tcPr>
            <w:tcW w:w="1760" w:type="dxa"/>
            <w:tcBorders>
              <w:top w:val="nil"/>
              <w:left w:val="single" w:sz="8" w:space="0" w:color="auto"/>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Northern Coast</w:t>
            </w:r>
          </w:p>
        </w:tc>
        <w:tc>
          <w:tcPr>
            <w:tcW w:w="114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4,044</w:t>
            </w:r>
          </w:p>
        </w:tc>
        <w:tc>
          <w:tcPr>
            <w:tcW w:w="112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$416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$64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13%</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96%</w:t>
            </w:r>
          </w:p>
        </w:tc>
      </w:tr>
      <w:tr w:rsidR="00993AB7" w:rsidRPr="00993AB7" w:rsidTr="00993AB7">
        <w:trPr>
          <w:trHeight w:val="300"/>
          <w:jc w:val="center"/>
        </w:trPr>
        <w:tc>
          <w:tcPr>
            <w:tcW w:w="1760" w:type="dxa"/>
            <w:tcBorders>
              <w:top w:val="nil"/>
              <w:left w:val="single" w:sz="8" w:space="0" w:color="auto"/>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Other</w:t>
            </w:r>
          </w:p>
        </w:tc>
        <w:tc>
          <w:tcPr>
            <w:tcW w:w="114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11,701</w:t>
            </w:r>
          </w:p>
        </w:tc>
        <w:tc>
          <w:tcPr>
            <w:tcW w:w="112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$463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$69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13%</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88%</w:t>
            </w:r>
          </w:p>
        </w:tc>
      </w:tr>
      <w:tr w:rsidR="00993AB7" w:rsidRPr="00993AB7" w:rsidTr="00993AB7">
        <w:trPr>
          <w:trHeight w:val="300"/>
          <w:jc w:val="center"/>
        </w:trPr>
        <w:tc>
          <w:tcPr>
            <w:tcW w:w="1760" w:type="dxa"/>
            <w:tcBorders>
              <w:top w:val="nil"/>
              <w:left w:val="single" w:sz="8" w:space="0" w:color="auto"/>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Sierra</w:t>
            </w:r>
          </w:p>
        </w:tc>
        <w:tc>
          <w:tcPr>
            <w:tcW w:w="114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7,270</w:t>
            </w:r>
          </w:p>
        </w:tc>
        <w:tc>
          <w:tcPr>
            <w:tcW w:w="112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$643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$87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12%</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254844">
            <w:pPr>
              <w:keepNext/>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90%</w:t>
            </w:r>
          </w:p>
        </w:tc>
      </w:tr>
      <w:tr w:rsidR="00993AB7" w:rsidRPr="00993AB7" w:rsidTr="00993AB7">
        <w:trPr>
          <w:trHeight w:val="300"/>
          <w:jc w:val="center"/>
        </w:trPr>
        <w:tc>
          <w:tcPr>
            <w:tcW w:w="1760" w:type="dxa"/>
            <w:tcBorders>
              <w:top w:val="nil"/>
              <w:left w:val="single" w:sz="8" w:space="0" w:color="auto"/>
              <w:bottom w:val="single" w:sz="8" w:space="0" w:color="auto"/>
              <w:right w:val="single" w:sz="8" w:space="0" w:color="auto"/>
            </w:tcBorders>
            <w:shd w:val="clear" w:color="auto" w:fill="auto"/>
            <w:noWrap/>
            <w:vAlign w:val="bottom"/>
            <w:hideMark/>
          </w:tcPr>
          <w:p w:rsidR="00993AB7" w:rsidRPr="00993AB7" w:rsidRDefault="00993AB7" w:rsidP="00993AB7">
            <w:pPr>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Stockton</w:t>
            </w:r>
          </w:p>
        </w:tc>
        <w:tc>
          <w:tcPr>
            <w:tcW w:w="114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993AB7">
            <w:pPr>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6,449</w:t>
            </w:r>
          </w:p>
        </w:tc>
        <w:tc>
          <w:tcPr>
            <w:tcW w:w="112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993AB7">
            <w:pPr>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$491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993AB7">
            <w:pPr>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 xml:space="preserve">$70 </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993AB7">
            <w:pPr>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12%</w:t>
            </w:r>
          </w:p>
        </w:tc>
        <w:tc>
          <w:tcPr>
            <w:tcW w:w="960" w:type="dxa"/>
            <w:tcBorders>
              <w:top w:val="nil"/>
              <w:left w:val="nil"/>
              <w:bottom w:val="single" w:sz="8" w:space="0" w:color="auto"/>
              <w:right w:val="single" w:sz="8" w:space="0" w:color="auto"/>
            </w:tcBorders>
            <w:shd w:val="clear" w:color="auto" w:fill="auto"/>
            <w:noWrap/>
            <w:vAlign w:val="bottom"/>
            <w:hideMark/>
          </w:tcPr>
          <w:p w:rsidR="00993AB7" w:rsidRPr="00993AB7" w:rsidRDefault="00993AB7" w:rsidP="00993AB7">
            <w:pPr>
              <w:spacing w:after="0" w:line="240" w:lineRule="auto"/>
              <w:jc w:val="center"/>
              <w:rPr>
                <w:rFonts w:ascii="Arial" w:eastAsia="Times New Roman" w:hAnsi="Arial" w:cs="Arial"/>
                <w:color w:val="000000"/>
                <w:sz w:val="18"/>
                <w:szCs w:val="18"/>
                <w:lang w:eastAsia="ko-KR"/>
              </w:rPr>
            </w:pPr>
            <w:r w:rsidRPr="00993AB7">
              <w:rPr>
                <w:rFonts w:ascii="Arial" w:eastAsia="Times New Roman" w:hAnsi="Arial" w:cs="Arial"/>
                <w:color w:val="000000"/>
                <w:sz w:val="18"/>
                <w:szCs w:val="18"/>
                <w:lang w:eastAsia="ko-KR"/>
              </w:rPr>
              <w:t>85%</w:t>
            </w:r>
          </w:p>
        </w:tc>
      </w:tr>
    </w:tbl>
    <w:p w:rsidR="00993AB7" w:rsidRPr="00993AB7" w:rsidRDefault="00993AB7" w:rsidP="00993AB7">
      <w:pPr>
        <w:pStyle w:val="BodyParagraph"/>
      </w:pPr>
    </w:p>
    <w:p w:rsidR="00FD127A" w:rsidRPr="00612923" w:rsidRDefault="00FD127A" w:rsidP="00FD127A">
      <w:pPr>
        <w:pStyle w:val="BodyParaAfterTableFigure"/>
        <w:rPr>
          <w:strike/>
          <w:color w:val="FF0000"/>
        </w:rPr>
      </w:pPr>
      <w:r w:rsidRPr="00612923">
        <w:t>Table 4-25 shows average customer savings by CARE status.  The size of the bill impacts for CARE and non-CARE customers is very similar in absolute terms.  Non-CARE customers save an average of $75 on SmartRate over the summer while the average CARE customer saves $71.  However, on a percentage basis, this comes out to 12% bill savings for non-CARE customers and a 19% savings for</w:t>
      </w:r>
      <w:r w:rsidR="008702A8" w:rsidRPr="00612923">
        <w:t> </w:t>
      </w:r>
      <w:r w:rsidRPr="00612923">
        <w:t xml:space="preserve">CARE customers.  </w:t>
      </w:r>
    </w:p>
    <w:p w:rsidR="00FD127A" w:rsidRPr="00612923" w:rsidRDefault="00FD127A" w:rsidP="0024441D">
      <w:pPr>
        <w:pStyle w:val="TableFigureCaption"/>
      </w:pPr>
      <w:r w:rsidRPr="00612923">
        <w:t>Table 4-25: SmartRate Customer Percent Winners and Savings by CARE Status</w:t>
      </w:r>
    </w:p>
    <w:tbl>
      <w:tblPr>
        <w:tblW w:w="6300"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0"/>
        <w:gridCol w:w="1261"/>
        <w:gridCol w:w="1180"/>
        <w:gridCol w:w="983"/>
        <w:gridCol w:w="983"/>
        <w:gridCol w:w="1005"/>
      </w:tblGrid>
      <w:tr w:rsidR="00FD127A" w:rsidRPr="00612923" w:rsidTr="0024441D">
        <w:trPr>
          <w:trHeight w:val="816"/>
          <w:jc w:val="center"/>
        </w:trPr>
        <w:tc>
          <w:tcPr>
            <w:tcW w:w="1120" w:type="dxa"/>
            <w:tcBorders>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CARE Status</w:t>
            </w:r>
          </w:p>
        </w:tc>
        <w:tc>
          <w:tcPr>
            <w:tcW w:w="112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of Customers</w:t>
            </w:r>
          </w:p>
        </w:tc>
        <w:tc>
          <w:tcPr>
            <w:tcW w:w="118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Total Summer SMR Bill</w:t>
            </w:r>
          </w:p>
        </w:tc>
        <w:tc>
          <w:tcPr>
            <w:tcW w:w="96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Savings</w:t>
            </w:r>
          </w:p>
        </w:tc>
        <w:tc>
          <w:tcPr>
            <w:tcW w:w="96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Savings</w:t>
            </w:r>
          </w:p>
        </w:tc>
        <w:tc>
          <w:tcPr>
            <w:tcW w:w="960" w:type="dxa"/>
            <w:tcBorders>
              <w:lef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Winners</w:t>
            </w:r>
          </w:p>
        </w:tc>
      </w:tr>
      <w:tr w:rsidR="00FD127A" w:rsidRPr="00612923" w:rsidTr="0024441D">
        <w:trPr>
          <w:trHeight w:val="300"/>
          <w:jc w:val="center"/>
        </w:trPr>
        <w:tc>
          <w:tcPr>
            <w:tcW w:w="112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Non-CARE</w:t>
            </w:r>
          </w:p>
        </w:tc>
        <w:tc>
          <w:tcPr>
            <w:tcW w:w="112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58,244</w:t>
            </w:r>
          </w:p>
        </w:tc>
        <w:tc>
          <w:tcPr>
            <w:tcW w:w="118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 xml:space="preserve">$575 </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 xml:space="preserve">$75 </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12%</w:t>
            </w:r>
          </w:p>
        </w:tc>
        <w:tc>
          <w:tcPr>
            <w:tcW w:w="960" w:type="dxa"/>
            <w:shd w:val="clear" w:color="auto" w:fill="auto"/>
            <w:noWrap/>
            <w:vAlign w:val="bottom"/>
            <w:hideMark/>
          </w:tcPr>
          <w:p w:rsidR="00FD127A" w:rsidRPr="00612923" w:rsidRDefault="00FD127A" w:rsidP="00254844">
            <w:pPr>
              <w:pStyle w:val="TableText"/>
              <w:keepNext/>
              <w:rPr>
                <w:lang w:eastAsia="ko-KR"/>
              </w:rPr>
            </w:pPr>
            <w:r w:rsidRPr="00612923">
              <w:rPr>
                <w:lang w:eastAsia="ko-KR"/>
              </w:rPr>
              <w:t>93%</w:t>
            </w:r>
          </w:p>
        </w:tc>
      </w:tr>
      <w:tr w:rsidR="00FD127A" w:rsidRPr="00612923" w:rsidTr="0024441D">
        <w:trPr>
          <w:trHeight w:val="300"/>
          <w:jc w:val="center"/>
        </w:trPr>
        <w:tc>
          <w:tcPr>
            <w:tcW w:w="1120" w:type="dxa"/>
            <w:shd w:val="clear" w:color="auto" w:fill="auto"/>
            <w:noWrap/>
            <w:vAlign w:val="bottom"/>
            <w:hideMark/>
          </w:tcPr>
          <w:p w:rsidR="00FD127A" w:rsidRPr="00612923" w:rsidRDefault="00FD127A" w:rsidP="0024441D">
            <w:pPr>
              <w:pStyle w:val="TableText"/>
              <w:rPr>
                <w:lang w:eastAsia="ko-KR"/>
              </w:rPr>
            </w:pPr>
            <w:r w:rsidRPr="00612923">
              <w:rPr>
                <w:lang w:eastAsia="ko-KR"/>
              </w:rPr>
              <w:t>CARE</w:t>
            </w:r>
          </w:p>
        </w:tc>
        <w:tc>
          <w:tcPr>
            <w:tcW w:w="1120" w:type="dxa"/>
            <w:shd w:val="clear" w:color="auto" w:fill="auto"/>
            <w:noWrap/>
            <w:vAlign w:val="bottom"/>
            <w:hideMark/>
          </w:tcPr>
          <w:p w:rsidR="00FD127A" w:rsidRPr="00612923" w:rsidRDefault="00FD127A" w:rsidP="0024441D">
            <w:pPr>
              <w:pStyle w:val="TableText"/>
              <w:rPr>
                <w:lang w:eastAsia="ko-KR"/>
              </w:rPr>
            </w:pPr>
            <w:r w:rsidRPr="00612923">
              <w:rPr>
                <w:lang w:eastAsia="ko-KR"/>
              </w:rPr>
              <w:t>19,388</w:t>
            </w:r>
          </w:p>
        </w:tc>
        <w:tc>
          <w:tcPr>
            <w:tcW w:w="1180" w:type="dxa"/>
            <w:shd w:val="clear" w:color="auto" w:fill="auto"/>
            <w:noWrap/>
            <w:vAlign w:val="bottom"/>
            <w:hideMark/>
          </w:tcPr>
          <w:p w:rsidR="00FD127A" w:rsidRPr="00612923" w:rsidRDefault="00FD127A" w:rsidP="0024441D">
            <w:pPr>
              <w:pStyle w:val="TableText"/>
              <w:rPr>
                <w:lang w:eastAsia="ko-KR"/>
              </w:rPr>
            </w:pPr>
            <w:r w:rsidRPr="00612923">
              <w:rPr>
                <w:lang w:eastAsia="ko-KR"/>
              </w:rPr>
              <w:t xml:space="preserve">$305 </w:t>
            </w:r>
          </w:p>
        </w:tc>
        <w:tc>
          <w:tcPr>
            <w:tcW w:w="960" w:type="dxa"/>
            <w:shd w:val="clear" w:color="auto" w:fill="auto"/>
            <w:noWrap/>
            <w:vAlign w:val="bottom"/>
            <w:hideMark/>
          </w:tcPr>
          <w:p w:rsidR="00FD127A" w:rsidRPr="00612923" w:rsidRDefault="00FD127A" w:rsidP="0024441D">
            <w:pPr>
              <w:pStyle w:val="TableText"/>
              <w:rPr>
                <w:lang w:eastAsia="ko-KR"/>
              </w:rPr>
            </w:pPr>
            <w:r w:rsidRPr="00612923">
              <w:rPr>
                <w:lang w:eastAsia="ko-KR"/>
              </w:rPr>
              <w:t xml:space="preserve">$71 </w:t>
            </w:r>
          </w:p>
        </w:tc>
        <w:tc>
          <w:tcPr>
            <w:tcW w:w="960" w:type="dxa"/>
            <w:shd w:val="clear" w:color="auto" w:fill="auto"/>
            <w:noWrap/>
            <w:vAlign w:val="bottom"/>
            <w:hideMark/>
          </w:tcPr>
          <w:p w:rsidR="00FD127A" w:rsidRPr="00612923" w:rsidRDefault="00FD127A" w:rsidP="0024441D">
            <w:pPr>
              <w:pStyle w:val="TableText"/>
              <w:rPr>
                <w:lang w:eastAsia="ko-KR"/>
              </w:rPr>
            </w:pPr>
            <w:r w:rsidRPr="00612923">
              <w:rPr>
                <w:lang w:eastAsia="ko-KR"/>
              </w:rPr>
              <w:t>19%</w:t>
            </w:r>
          </w:p>
        </w:tc>
        <w:tc>
          <w:tcPr>
            <w:tcW w:w="960" w:type="dxa"/>
            <w:shd w:val="clear" w:color="auto" w:fill="auto"/>
            <w:noWrap/>
            <w:vAlign w:val="bottom"/>
            <w:hideMark/>
          </w:tcPr>
          <w:p w:rsidR="00FD127A" w:rsidRPr="00612923" w:rsidRDefault="00FD127A" w:rsidP="0024441D">
            <w:pPr>
              <w:pStyle w:val="TableText"/>
              <w:rPr>
                <w:lang w:eastAsia="ko-KR"/>
              </w:rPr>
            </w:pPr>
            <w:r w:rsidRPr="00612923">
              <w:rPr>
                <w:lang w:eastAsia="ko-KR"/>
              </w:rPr>
              <w:t>85%</w:t>
            </w:r>
          </w:p>
        </w:tc>
      </w:tr>
    </w:tbl>
    <w:p w:rsidR="00FD127A" w:rsidRPr="00612923" w:rsidRDefault="00FD127A" w:rsidP="0024441D">
      <w:pPr>
        <w:pStyle w:val="Heading2"/>
        <w:spacing w:before="360"/>
      </w:pPr>
      <w:bookmarkStart w:id="56" w:name="_Toc326154567"/>
      <w:bookmarkStart w:id="57" w:name="_Toc352567306"/>
      <w:r w:rsidRPr="00612923">
        <w:t>2012 Bill Protection and Reimbursements</w:t>
      </w:r>
      <w:bookmarkEnd w:id="56"/>
      <w:bookmarkEnd w:id="57"/>
    </w:p>
    <w:p w:rsidR="00FD127A" w:rsidRPr="00612923" w:rsidRDefault="00FD127A" w:rsidP="00FD127A">
      <w:pPr>
        <w:pStyle w:val="BodyParagraph"/>
      </w:pPr>
      <w:r w:rsidRPr="00612923">
        <w:t xml:space="preserve">In order to encourage enrollment, prospective SmartRate participants are offered bill protection </w:t>
      </w:r>
      <w:r w:rsidR="00911840">
        <w:t>to</w:t>
      </w:r>
      <w:r w:rsidRPr="00612923">
        <w:t xml:space="preserve"> </w:t>
      </w:r>
      <w:r w:rsidR="00911840">
        <w:t xml:space="preserve">try </w:t>
      </w:r>
      <w:r w:rsidRPr="00612923">
        <w:t>the new rate</w:t>
      </w:r>
      <w:r w:rsidR="00911840" w:rsidRPr="00911840">
        <w:t xml:space="preserve"> </w:t>
      </w:r>
      <w:r w:rsidR="00911840">
        <w:t xml:space="preserve">with no </w:t>
      </w:r>
      <w:r w:rsidR="00911840" w:rsidRPr="00612923">
        <w:t>risk</w:t>
      </w:r>
      <w:r w:rsidRPr="00612923">
        <w:t>.  Bill protection is offered from the time they start on SmartRate through the end of the first full summer they are on the rate (May 1 through October 31).  With bill protection, customers will not pay more under SmartRate than they would have paid on the OAT for the first full summer and any partial summer that preceded it.  If a bill protection eligible customer experiences higher bills under SmartRate than under the OAT, PG&amp;E will pay the difference after the end of the event season.  Customers still experience and must pay their monthly bills from May to October under the SmartRate tariff.  During the summer of 2012, 75% of SmartRate customers were covered under bill protection.  This is a large change from 2011 when only 13% of customers had bill protection but not much different from 2010 when over 60% of customers had bill protection.</w:t>
      </w:r>
    </w:p>
    <w:p w:rsidR="00FD127A" w:rsidRPr="00612923" w:rsidRDefault="00FD127A" w:rsidP="007C3A6C">
      <w:pPr>
        <w:pStyle w:val="TableFigureCaption"/>
      </w:pPr>
      <w:r w:rsidRPr="00612923">
        <w:lastRenderedPageBreak/>
        <w:t xml:space="preserve">Table </w:t>
      </w:r>
      <w:r w:rsidR="00071D48">
        <w:fldChar w:fldCharType="begin"/>
      </w:r>
      <w:r w:rsidR="00A22ACF">
        <w:instrText xml:space="preserve"> STYLEREF 1 \s </w:instrText>
      </w:r>
      <w:r w:rsidR="00071D48">
        <w:fldChar w:fldCharType="separate"/>
      </w:r>
      <w:r w:rsidR="00911840">
        <w:rPr>
          <w:noProof/>
        </w:rPr>
        <w:t>4</w:t>
      </w:r>
      <w:r w:rsidR="00071D48">
        <w:rPr>
          <w:noProof/>
        </w:rPr>
        <w:fldChar w:fldCharType="end"/>
      </w:r>
      <w:r w:rsidR="0024441D" w:rsidRPr="00612923">
        <w:t>-</w:t>
      </w:r>
      <w:r w:rsidRPr="00612923">
        <w:t>26: SmartRate Customers with Bill Protection</w:t>
      </w:r>
    </w:p>
    <w:tbl>
      <w:tblPr>
        <w:tblW w:w="4100"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0"/>
        <w:gridCol w:w="1280"/>
        <w:gridCol w:w="1300"/>
      </w:tblGrid>
      <w:tr w:rsidR="00FD127A" w:rsidRPr="00612923" w:rsidTr="0024441D">
        <w:trPr>
          <w:trHeight w:val="576"/>
          <w:jc w:val="center"/>
        </w:trPr>
        <w:tc>
          <w:tcPr>
            <w:tcW w:w="1520" w:type="dxa"/>
            <w:tcBorders>
              <w:right w:val="single" w:sz="4" w:space="0" w:color="FFFFFF" w:themeColor="background1"/>
            </w:tcBorders>
            <w:shd w:val="clear" w:color="000000" w:fill="1F497D"/>
            <w:vAlign w:val="center"/>
            <w:hideMark/>
          </w:tcPr>
          <w:p w:rsidR="00FD127A" w:rsidRPr="00612923" w:rsidRDefault="00FD127A" w:rsidP="007C3A6C">
            <w:pPr>
              <w:pStyle w:val="TableHeader"/>
              <w:keepNext/>
              <w:rPr>
                <w:lang w:eastAsia="ko-KR"/>
              </w:rPr>
            </w:pPr>
            <w:r w:rsidRPr="00612923">
              <w:rPr>
                <w:lang w:eastAsia="ko-KR"/>
              </w:rPr>
              <w:t>Bill Protected</w:t>
            </w:r>
          </w:p>
        </w:tc>
        <w:tc>
          <w:tcPr>
            <w:tcW w:w="128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7C3A6C">
            <w:pPr>
              <w:pStyle w:val="TableHeader"/>
              <w:keepNext/>
              <w:rPr>
                <w:lang w:eastAsia="ko-KR"/>
              </w:rPr>
            </w:pPr>
            <w:r w:rsidRPr="00612923">
              <w:rPr>
                <w:lang w:eastAsia="ko-KR"/>
              </w:rPr>
              <w:t># of customers</w:t>
            </w:r>
          </w:p>
        </w:tc>
        <w:tc>
          <w:tcPr>
            <w:tcW w:w="1300" w:type="dxa"/>
            <w:tcBorders>
              <w:left w:val="single" w:sz="4" w:space="0" w:color="FFFFFF" w:themeColor="background1"/>
            </w:tcBorders>
            <w:shd w:val="clear" w:color="000000" w:fill="1F497D"/>
            <w:vAlign w:val="center"/>
            <w:hideMark/>
          </w:tcPr>
          <w:p w:rsidR="00FD127A" w:rsidRPr="00612923" w:rsidRDefault="00FD127A" w:rsidP="007C3A6C">
            <w:pPr>
              <w:pStyle w:val="TableHeader"/>
              <w:keepNext/>
              <w:rPr>
                <w:lang w:eastAsia="ko-KR"/>
              </w:rPr>
            </w:pPr>
            <w:r w:rsidRPr="00612923">
              <w:rPr>
                <w:lang w:eastAsia="ko-KR"/>
              </w:rPr>
              <w:t>% of customers</w:t>
            </w:r>
          </w:p>
        </w:tc>
      </w:tr>
      <w:tr w:rsidR="00FD127A" w:rsidRPr="00612923" w:rsidTr="0024441D">
        <w:trPr>
          <w:trHeight w:val="300"/>
          <w:jc w:val="center"/>
        </w:trPr>
        <w:tc>
          <w:tcPr>
            <w:tcW w:w="1520" w:type="dxa"/>
            <w:shd w:val="clear" w:color="auto" w:fill="auto"/>
            <w:noWrap/>
            <w:vAlign w:val="center"/>
            <w:hideMark/>
          </w:tcPr>
          <w:p w:rsidR="00FD127A" w:rsidRPr="00612923" w:rsidRDefault="00FD127A" w:rsidP="007C3A6C">
            <w:pPr>
              <w:pStyle w:val="TableText"/>
              <w:keepNext/>
              <w:rPr>
                <w:lang w:eastAsia="ko-KR"/>
              </w:rPr>
            </w:pPr>
            <w:r w:rsidRPr="00612923">
              <w:rPr>
                <w:lang w:eastAsia="ko-KR"/>
              </w:rPr>
              <w:t>No</w:t>
            </w:r>
          </w:p>
        </w:tc>
        <w:tc>
          <w:tcPr>
            <w:tcW w:w="1280" w:type="dxa"/>
            <w:shd w:val="clear" w:color="auto" w:fill="auto"/>
            <w:noWrap/>
            <w:vAlign w:val="center"/>
            <w:hideMark/>
          </w:tcPr>
          <w:p w:rsidR="00FD127A" w:rsidRPr="00612923" w:rsidRDefault="00FD127A" w:rsidP="007C3A6C">
            <w:pPr>
              <w:pStyle w:val="TableText"/>
              <w:keepNext/>
              <w:rPr>
                <w:lang w:eastAsia="ko-KR"/>
              </w:rPr>
            </w:pPr>
            <w:r w:rsidRPr="00612923">
              <w:rPr>
                <w:lang w:eastAsia="ko-KR"/>
              </w:rPr>
              <w:t>19,424</w:t>
            </w:r>
          </w:p>
        </w:tc>
        <w:tc>
          <w:tcPr>
            <w:tcW w:w="1300" w:type="dxa"/>
            <w:shd w:val="clear" w:color="auto" w:fill="auto"/>
            <w:noWrap/>
            <w:vAlign w:val="center"/>
            <w:hideMark/>
          </w:tcPr>
          <w:p w:rsidR="00FD127A" w:rsidRPr="00612923" w:rsidRDefault="00FD127A" w:rsidP="007C3A6C">
            <w:pPr>
              <w:pStyle w:val="TableText"/>
              <w:keepNext/>
              <w:rPr>
                <w:lang w:eastAsia="ko-KR"/>
              </w:rPr>
            </w:pPr>
            <w:r w:rsidRPr="00612923">
              <w:rPr>
                <w:lang w:eastAsia="ko-KR"/>
              </w:rPr>
              <w:t>25%</w:t>
            </w:r>
          </w:p>
        </w:tc>
      </w:tr>
      <w:tr w:rsidR="00FD127A" w:rsidRPr="00612923" w:rsidTr="0024441D">
        <w:trPr>
          <w:trHeight w:val="300"/>
          <w:jc w:val="center"/>
        </w:trPr>
        <w:tc>
          <w:tcPr>
            <w:tcW w:w="1520" w:type="dxa"/>
            <w:shd w:val="clear" w:color="auto" w:fill="auto"/>
            <w:noWrap/>
            <w:vAlign w:val="center"/>
            <w:hideMark/>
          </w:tcPr>
          <w:p w:rsidR="00FD127A" w:rsidRPr="00612923" w:rsidRDefault="00FD127A" w:rsidP="007C3A6C">
            <w:pPr>
              <w:pStyle w:val="TableText"/>
              <w:keepNext/>
              <w:rPr>
                <w:lang w:eastAsia="ko-KR"/>
              </w:rPr>
            </w:pPr>
            <w:r w:rsidRPr="00612923">
              <w:rPr>
                <w:lang w:eastAsia="ko-KR"/>
              </w:rPr>
              <w:t>Yes</w:t>
            </w:r>
          </w:p>
        </w:tc>
        <w:tc>
          <w:tcPr>
            <w:tcW w:w="1280" w:type="dxa"/>
            <w:shd w:val="clear" w:color="auto" w:fill="auto"/>
            <w:noWrap/>
            <w:vAlign w:val="center"/>
            <w:hideMark/>
          </w:tcPr>
          <w:p w:rsidR="00FD127A" w:rsidRPr="00612923" w:rsidRDefault="00FD127A" w:rsidP="007C3A6C">
            <w:pPr>
              <w:pStyle w:val="TableText"/>
              <w:keepNext/>
              <w:rPr>
                <w:lang w:eastAsia="ko-KR"/>
              </w:rPr>
            </w:pPr>
            <w:r w:rsidRPr="00612923">
              <w:rPr>
                <w:lang w:eastAsia="ko-KR"/>
              </w:rPr>
              <w:t>58,208</w:t>
            </w:r>
          </w:p>
        </w:tc>
        <w:tc>
          <w:tcPr>
            <w:tcW w:w="1300" w:type="dxa"/>
            <w:shd w:val="clear" w:color="auto" w:fill="auto"/>
            <w:noWrap/>
            <w:vAlign w:val="center"/>
            <w:hideMark/>
          </w:tcPr>
          <w:p w:rsidR="00FD127A" w:rsidRPr="00612923" w:rsidRDefault="00FD127A" w:rsidP="007C3A6C">
            <w:pPr>
              <w:pStyle w:val="TableText"/>
              <w:keepNext/>
              <w:rPr>
                <w:lang w:eastAsia="ko-KR"/>
              </w:rPr>
            </w:pPr>
            <w:r w:rsidRPr="00612923">
              <w:rPr>
                <w:lang w:eastAsia="ko-KR"/>
              </w:rPr>
              <w:t>75%</w:t>
            </w:r>
          </w:p>
        </w:tc>
      </w:tr>
      <w:tr w:rsidR="00FD127A" w:rsidRPr="00612923" w:rsidTr="0024441D">
        <w:trPr>
          <w:trHeight w:val="300"/>
          <w:jc w:val="center"/>
        </w:trPr>
        <w:tc>
          <w:tcPr>
            <w:tcW w:w="1520" w:type="dxa"/>
            <w:shd w:val="clear" w:color="auto" w:fill="auto"/>
            <w:noWrap/>
            <w:vAlign w:val="center"/>
            <w:hideMark/>
          </w:tcPr>
          <w:p w:rsidR="00FD127A" w:rsidRPr="00612923" w:rsidRDefault="00FD127A" w:rsidP="0024441D">
            <w:pPr>
              <w:pStyle w:val="TableText"/>
              <w:rPr>
                <w:lang w:eastAsia="ko-KR"/>
              </w:rPr>
            </w:pPr>
            <w:r w:rsidRPr="00612923">
              <w:rPr>
                <w:lang w:eastAsia="ko-KR"/>
              </w:rPr>
              <w:t>Total</w:t>
            </w:r>
          </w:p>
        </w:tc>
        <w:tc>
          <w:tcPr>
            <w:tcW w:w="1280" w:type="dxa"/>
            <w:shd w:val="clear" w:color="auto" w:fill="auto"/>
            <w:noWrap/>
            <w:vAlign w:val="center"/>
            <w:hideMark/>
          </w:tcPr>
          <w:p w:rsidR="00FD127A" w:rsidRPr="00612923" w:rsidRDefault="00FD127A" w:rsidP="0024441D">
            <w:pPr>
              <w:pStyle w:val="TableText"/>
              <w:rPr>
                <w:lang w:eastAsia="ko-KR"/>
              </w:rPr>
            </w:pPr>
            <w:r w:rsidRPr="00612923">
              <w:rPr>
                <w:lang w:eastAsia="ko-KR"/>
              </w:rPr>
              <w:t>77,632</w:t>
            </w:r>
          </w:p>
        </w:tc>
        <w:tc>
          <w:tcPr>
            <w:tcW w:w="1300" w:type="dxa"/>
            <w:shd w:val="clear" w:color="auto" w:fill="auto"/>
            <w:noWrap/>
            <w:vAlign w:val="center"/>
            <w:hideMark/>
          </w:tcPr>
          <w:p w:rsidR="00FD127A" w:rsidRPr="00612923" w:rsidRDefault="00FD127A" w:rsidP="0024441D">
            <w:pPr>
              <w:pStyle w:val="TableText"/>
              <w:rPr>
                <w:lang w:eastAsia="ko-KR"/>
              </w:rPr>
            </w:pPr>
            <w:r w:rsidRPr="00612923">
              <w:rPr>
                <w:lang w:eastAsia="ko-KR"/>
              </w:rPr>
              <w:t>100%</w:t>
            </w:r>
          </w:p>
        </w:tc>
      </w:tr>
    </w:tbl>
    <w:p w:rsidR="00FD127A" w:rsidRPr="00612923" w:rsidRDefault="00FD127A" w:rsidP="00FD127A">
      <w:pPr>
        <w:pStyle w:val="BodyParaAfterTableFigure"/>
      </w:pPr>
      <w:r w:rsidRPr="00612923">
        <w:t>Of the approximately 58,208 customers covered under bill protection in 2012, 2543 (4%) received refunds after the summer of 2012.</w:t>
      </w:r>
    </w:p>
    <w:p w:rsidR="00FD127A" w:rsidRPr="00612923" w:rsidRDefault="00FD127A" w:rsidP="00FD127A">
      <w:pPr>
        <w:pStyle w:val="TableFigureCaption"/>
      </w:pPr>
      <w:r w:rsidRPr="00612923">
        <w:t xml:space="preserve">Table </w:t>
      </w:r>
      <w:r w:rsidR="00071D48">
        <w:fldChar w:fldCharType="begin"/>
      </w:r>
      <w:r w:rsidR="00A22ACF">
        <w:instrText xml:space="preserve"> STYLEREF 1 \s </w:instrText>
      </w:r>
      <w:r w:rsidR="00071D48">
        <w:fldChar w:fldCharType="separate"/>
      </w:r>
      <w:r w:rsidR="00911840">
        <w:rPr>
          <w:noProof/>
        </w:rPr>
        <w:t>4</w:t>
      </w:r>
      <w:r w:rsidR="00071D48">
        <w:rPr>
          <w:noProof/>
        </w:rPr>
        <w:fldChar w:fldCharType="end"/>
      </w:r>
      <w:r w:rsidR="0024441D" w:rsidRPr="00612923">
        <w:t>-</w:t>
      </w:r>
      <w:r w:rsidRPr="00612923">
        <w:t xml:space="preserve">27: SmartRate Customers with Refunds </w:t>
      </w:r>
      <w:r w:rsidRPr="00612923">
        <w:br/>
        <w:t>(Bill Protected Customers Only)</w:t>
      </w:r>
    </w:p>
    <w:tbl>
      <w:tblPr>
        <w:tblW w:w="3540" w:type="dxa"/>
        <w:jc w:val="center"/>
        <w:tblInd w:w="97" w:type="dxa"/>
        <w:tblLook w:val="04A0"/>
      </w:tblPr>
      <w:tblGrid>
        <w:gridCol w:w="1020"/>
        <w:gridCol w:w="1261"/>
        <w:gridCol w:w="1340"/>
      </w:tblGrid>
      <w:tr w:rsidR="00FD127A" w:rsidRPr="00612923" w:rsidTr="00FD127A">
        <w:trPr>
          <w:trHeight w:val="576"/>
          <w:jc w:val="center"/>
        </w:trPr>
        <w:tc>
          <w:tcPr>
            <w:tcW w:w="1020"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Refund</w:t>
            </w:r>
          </w:p>
        </w:tc>
        <w:tc>
          <w:tcPr>
            <w:tcW w:w="118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of Customers</w:t>
            </w:r>
          </w:p>
        </w:tc>
        <w:tc>
          <w:tcPr>
            <w:tcW w:w="1340"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of Customers</w:t>
            </w:r>
          </w:p>
        </w:tc>
      </w:tr>
      <w:tr w:rsidR="00FD127A" w:rsidRPr="00612923" w:rsidTr="00FD127A">
        <w:trPr>
          <w:trHeight w:val="300"/>
          <w:jc w:val="center"/>
        </w:trPr>
        <w:tc>
          <w:tcPr>
            <w:tcW w:w="10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No refund</w:t>
            </w:r>
          </w:p>
        </w:tc>
        <w:tc>
          <w:tcPr>
            <w:tcW w:w="118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55,665</w:t>
            </w:r>
          </w:p>
        </w:tc>
        <w:tc>
          <w:tcPr>
            <w:tcW w:w="134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96%</w:t>
            </w:r>
          </w:p>
        </w:tc>
      </w:tr>
      <w:tr w:rsidR="00FD127A" w:rsidRPr="00612923" w:rsidTr="00FD127A">
        <w:trPr>
          <w:trHeight w:val="300"/>
          <w:jc w:val="center"/>
        </w:trPr>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Refund</w:t>
            </w:r>
          </w:p>
        </w:tc>
        <w:tc>
          <w:tcPr>
            <w:tcW w:w="11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2543</w:t>
            </w:r>
          </w:p>
        </w:tc>
        <w:tc>
          <w:tcPr>
            <w:tcW w:w="134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4%</w:t>
            </w:r>
          </w:p>
        </w:tc>
      </w:tr>
      <w:tr w:rsidR="00FD127A" w:rsidRPr="00612923" w:rsidTr="00FD127A">
        <w:trPr>
          <w:trHeight w:val="300"/>
          <w:jc w:val="center"/>
        </w:trPr>
        <w:tc>
          <w:tcPr>
            <w:tcW w:w="102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4441D">
            <w:pPr>
              <w:pStyle w:val="TableText"/>
              <w:rPr>
                <w:lang w:eastAsia="ko-KR"/>
              </w:rPr>
            </w:pPr>
            <w:r w:rsidRPr="00612923">
              <w:rPr>
                <w:lang w:eastAsia="ko-KR"/>
              </w:rPr>
              <w:t>Total</w:t>
            </w:r>
          </w:p>
        </w:tc>
        <w:tc>
          <w:tcPr>
            <w:tcW w:w="118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4441D">
            <w:pPr>
              <w:pStyle w:val="TableText"/>
              <w:rPr>
                <w:lang w:eastAsia="ko-KR"/>
              </w:rPr>
            </w:pPr>
            <w:r w:rsidRPr="00612923">
              <w:rPr>
                <w:lang w:eastAsia="ko-KR"/>
              </w:rPr>
              <w:t>58,208</w:t>
            </w:r>
          </w:p>
        </w:tc>
        <w:tc>
          <w:tcPr>
            <w:tcW w:w="134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4441D">
            <w:pPr>
              <w:pStyle w:val="TableText"/>
              <w:rPr>
                <w:lang w:eastAsia="ko-KR"/>
              </w:rPr>
            </w:pPr>
            <w:r w:rsidRPr="00612923">
              <w:rPr>
                <w:lang w:eastAsia="ko-KR"/>
              </w:rPr>
              <w:t>100%</w:t>
            </w:r>
          </w:p>
        </w:tc>
      </w:tr>
    </w:tbl>
    <w:p w:rsidR="00FD127A" w:rsidRPr="00612923" w:rsidRDefault="00FD127A" w:rsidP="0024441D">
      <w:pPr>
        <w:pStyle w:val="Heading2"/>
        <w:spacing w:before="360"/>
      </w:pPr>
      <w:bookmarkStart w:id="58" w:name="_Toc352567307"/>
      <w:r w:rsidRPr="00612923">
        <w:t>SmartRate Retention Patterns</w:t>
      </w:r>
      <w:bookmarkEnd w:id="50"/>
      <w:bookmarkEnd w:id="58"/>
      <w:r w:rsidRPr="00612923">
        <w:t xml:space="preserve"> </w:t>
      </w:r>
    </w:p>
    <w:p w:rsidR="00FD127A" w:rsidRPr="00612923" w:rsidRDefault="00FD127A" w:rsidP="00FD127A">
      <w:pPr>
        <w:pStyle w:val="BodyParagraph"/>
        <w:rPr>
          <w:rFonts w:cs="Arial"/>
        </w:rPr>
      </w:pPr>
      <w:bookmarkStart w:id="59" w:name="_Toc286998000"/>
      <w:bookmarkStart w:id="60" w:name="_Toc287286437"/>
      <w:bookmarkStart w:id="61" w:name="_Toc287339847"/>
      <w:bookmarkEnd w:id="59"/>
      <w:bookmarkEnd w:id="60"/>
      <w:bookmarkEnd w:id="61"/>
      <w:r w:rsidRPr="00612923">
        <w:rPr>
          <w:rFonts w:cs="Arial"/>
        </w:rPr>
        <w:t xml:space="preserve">Retention rates are important components of program performance.  They affect the overall load reduction level, costs and the cost-effectiveness of DR programs.  There are two main types of attrition from SmartRate.  The first is normal turnover due to accounts opening and closing as customers relocate.  This is mainly a function of customer characteristics and is only incidentally related to participation in SmartRate.  For example, a program with a high share of renters typically has higher participant turnover simply because renters relocate more frequently than homeowners.  </w:t>
      </w:r>
    </w:p>
    <w:p w:rsidR="00FD127A" w:rsidRPr="00612923" w:rsidRDefault="00FD127A" w:rsidP="00FD127A">
      <w:pPr>
        <w:pStyle w:val="BodyBeforeBullet"/>
      </w:pPr>
      <w:r w:rsidRPr="00612923">
        <w:t xml:space="preserve">The second type of attrition is active customer de-enrollment.  These are instances when a participant actively requests to leave the program.  There are several important questions associated with customer attrition, including: </w:t>
      </w:r>
    </w:p>
    <w:p w:rsidR="00FD127A" w:rsidRPr="00612923" w:rsidRDefault="00FD127A" w:rsidP="00FD127A">
      <w:pPr>
        <w:pStyle w:val="Bullets"/>
        <w:numPr>
          <w:ilvl w:val="0"/>
          <w:numId w:val="27"/>
        </w:numPr>
      </w:pPr>
      <w:r w:rsidRPr="00612923">
        <w:t>Do customers de-enroll at higher rates when SmartRate events are concentrated in particular months?</w:t>
      </w:r>
    </w:p>
    <w:p w:rsidR="00FD127A" w:rsidRPr="00612923" w:rsidRDefault="00FD127A" w:rsidP="00FD127A">
      <w:pPr>
        <w:pStyle w:val="Bullets"/>
        <w:numPr>
          <w:ilvl w:val="0"/>
          <w:numId w:val="27"/>
        </w:numPr>
      </w:pPr>
      <w:r w:rsidRPr="00612923">
        <w:t>Do CARE customers de-enroll at higher or lower rates?</w:t>
      </w:r>
    </w:p>
    <w:p w:rsidR="00FD127A" w:rsidRPr="00612923" w:rsidRDefault="00FD127A" w:rsidP="00FD127A">
      <w:pPr>
        <w:pStyle w:val="Bullets"/>
        <w:numPr>
          <w:ilvl w:val="0"/>
          <w:numId w:val="27"/>
        </w:numPr>
      </w:pPr>
      <w:r w:rsidRPr="00612923">
        <w:t>Do actual bill increases and decreases relative to the OAT have any relationship to attrition rates? </w:t>
      </w:r>
    </w:p>
    <w:p w:rsidR="00FD127A" w:rsidRPr="00612923" w:rsidRDefault="00FD127A" w:rsidP="00FD127A">
      <w:pPr>
        <w:pStyle w:val="BulletLast"/>
        <w:numPr>
          <w:ilvl w:val="0"/>
          <w:numId w:val="27"/>
        </w:numPr>
      </w:pPr>
      <w:r w:rsidRPr="00612923">
        <w:t>Do attrition rates vary across geographic regions?</w:t>
      </w:r>
    </w:p>
    <w:p w:rsidR="00FD127A" w:rsidRPr="00612923" w:rsidRDefault="00FD127A" w:rsidP="0024441D">
      <w:pPr>
        <w:pStyle w:val="Heading3"/>
      </w:pPr>
      <w:bookmarkStart w:id="62" w:name="_Toc326154569"/>
      <w:bookmarkStart w:id="63" w:name="_Toc352567308"/>
      <w:r w:rsidRPr="00612923">
        <w:t>SmartRate Attrition Due to Accounts Closing</w:t>
      </w:r>
      <w:bookmarkEnd w:id="62"/>
      <w:bookmarkEnd w:id="63"/>
    </w:p>
    <w:p w:rsidR="00FD127A" w:rsidRPr="00612923" w:rsidRDefault="00FD127A" w:rsidP="00FD127A">
      <w:pPr>
        <w:pStyle w:val="BodyParagraph"/>
        <w:rPr>
          <w:rFonts w:cs="Arial"/>
        </w:rPr>
      </w:pPr>
      <w:r w:rsidRPr="00612923">
        <w:rPr>
          <w:rFonts w:cs="Arial"/>
        </w:rPr>
        <w:t>The majority of customers who leave SmartRate do so because their service accounts close.  The main</w:t>
      </w:r>
      <w:r w:rsidR="008702A8" w:rsidRPr="00612923">
        <w:rPr>
          <w:rFonts w:cs="Arial"/>
        </w:rPr>
        <w:t> </w:t>
      </w:r>
      <w:r w:rsidRPr="00612923">
        <w:rPr>
          <w:rFonts w:cs="Arial"/>
        </w:rPr>
        <w:t xml:space="preserve">reason for this is that the customer changes addresses.  These customers were not necessarily unhappy with the program, so this type of attrition should generally not be counted against the program.  </w:t>
      </w:r>
      <w:r w:rsidR="007C3A6C" w:rsidRPr="00612923">
        <w:rPr>
          <w:rFonts w:cs="Arial"/>
        </w:rPr>
        <w:t>We have excluded this type of attrition from the analysis</w:t>
      </w:r>
      <w:r w:rsidRPr="00612923">
        <w:rPr>
          <w:rFonts w:cs="Arial"/>
        </w:rPr>
        <w:t xml:space="preserve">.  </w:t>
      </w:r>
    </w:p>
    <w:p w:rsidR="00FD127A" w:rsidRPr="00612923" w:rsidRDefault="00FD127A" w:rsidP="0024441D">
      <w:pPr>
        <w:pStyle w:val="Heading3"/>
      </w:pPr>
      <w:bookmarkStart w:id="64" w:name="_Toc326154570"/>
      <w:bookmarkStart w:id="65" w:name="_Toc352567309"/>
      <w:r w:rsidRPr="00612923">
        <w:lastRenderedPageBreak/>
        <w:t>SmartRate Attrition Due to De-enrollment</w:t>
      </w:r>
      <w:bookmarkEnd w:id="64"/>
      <w:bookmarkEnd w:id="65"/>
    </w:p>
    <w:p w:rsidR="008702A8" w:rsidRPr="00612923" w:rsidRDefault="00FD127A" w:rsidP="00FD127A">
      <w:pPr>
        <w:pStyle w:val="BodyParagraph"/>
        <w:rPr>
          <w:rFonts w:cs="Arial"/>
        </w:rPr>
      </w:pPr>
      <w:r w:rsidRPr="00612923">
        <w:rPr>
          <w:rFonts w:cs="Arial"/>
        </w:rPr>
        <w:t>This second type of attrition is more important; customers who de-enroll from the program may do so because of dissatisfaction with the program.  Over the period from November 2011 to October 2012, only 826 customers de-enrolled from SmartRate.  Table 4-28 shows the number of customers who de-enrolled during each month of the period.  Nearly half of the customers who dropped out during that period did so in July and September.  This is not surprising as this is when most events were called.  As a percentage of all SmartRate customers, less than 1% dropped out even in July, the month with the highest number of dropouts.</w:t>
      </w:r>
      <w:r w:rsidRPr="00612923">
        <w:rPr>
          <w:rStyle w:val="FootnoteReference"/>
        </w:rPr>
        <w:footnoteReference w:id="26"/>
      </w:r>
      <w:r w:rsidRPr="00612923">
        <w:rPr>
          <w:rFonts w:cs="Arial"/>
        </w:rPr>
        <w:t xml:space="preserve">    </w:t>
      </w:r>
    </w:p>
    <w:p w:rsidR="008702A8" w:rsidRPr="00612923" w:rsidRDefault="008702A8">
      <w:pPr>
        <w:rPr>
          <w:rFonts w:ascii="Verdana" w:hAnsi="Verdana" w:cs="Arial"/>
          <w:sz w:val="18"/>
        </w:rPr>
      </w:pPr>
      <w:r w:rsidRPr="00612923">
        <w:rPr>
          <w:rFonts w:cs="Arial"/>
        </w:rPr>
        <w:br w:type="page"/>
      </w:r>
    </w:p>
    <w:p w:rsidR="00FD127A" w:rsidRPr="00612923" w:rsidRDefault="00FD127A" w:rsidP="008702A8">
      <w:pPr>
        <w:pStyle w:val="TableFigureCaption"/>
      </w:pPr>
      <w:r w:rsidRPr="00612923">
        <w:lastRenderedPageBreak/>
        <w:t>Table 4-28: Customer De-enrollments by Month</w:t>
      </w:r>
    </w:p>
    <w:tbl>
      <w:tblPr>
        <w:tblW w:w="4130"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0"/>
        <w:gridCol w:w="1170"/>
        <w:gridCol w:w="1890"/>
      </w:tblGrid>
      <w:tr w:rsidR="00FD127A" w:rsidRPr="00612923" w:rsidTr="008702A8">
        <w:trPr>
          <w:trHeight w:val="476"/>
          <w:jc w:val="center"/>
        </w:trPr>
        <w:tc>
          <w:tcPr>
            <w:tcW w:w="1070" w:type="dxa"/>
            <w:tcBorders>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Month</w:t>
            </w:r>
          </w:p>
        </w:tc>
        <w:tc>
          <w:tcPr>
            <w:tcW w:w="117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of Drop Outs</w:t>
            </w:r>
          </w:p>
        </w:tc>
        <w:tc>
          <w:tcPr>
            <w:tcW w:w="1890" w:type="dxa"/>
            <w:tcBorders>
              <w:lef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of Customers that Dropped Out</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Nov. 2011</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5</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0.02%</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Oct. 2011</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6</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0.03%</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Jan. 2012</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5</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0.02%</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Feb. 2012</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10</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0.05%</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Mar. 2012</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7</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0.03%</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Apr. 2012</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8</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0.04%</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May. 2012</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151</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0.72%</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Jun. 2012</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23</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0.07%</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Jul. 2012</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254</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0.47%</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Aug. 2012</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60</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0.09%</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Sep. 2012</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171</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0.22%</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Oct.2012</w:t>
            </w:r>
          </w:p>
        </w:tc>
        <w:tc>
          <w:tcPr>
            <w:tcW w:w="117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126</w:t>
            </w:r>
          </w:p>
        </w:tc>
        <w:tc>
          <w:tcPr>
            <w:tcW w:w="189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0.16%</w:t>
            </w:r>
          </w:p>
        </w:tc>
      </w:tr>
      <w:tr w:rsidR="00FD127A" w:rsidRPr="00612923" w:rsidTr="0024441D">
        <w:trPr>
          <w:trHeight w:val="300"/>
          <w:jc w:val="center"/>
        </w:trPr>
        <w:tc>
          <w:tcPr>
            <w:tcW w:w="1070" w:type="dxa"/>
            <w:shd w:val="clear" w:color="auto" w:fill="auto"/>
            <w:noWrap/>
            <w:vAlign w:val="center"/>
            <w:hideMark/>
          </w:tcPr>
          <w:p w:rsidR="00FD127A" w:rsidRPr="00612923" w:rsidRDefault="00FD127A" w:rsidP="0024441D">
            <w:pPr>
              <w:pStyle w:val="TableText"/>
              <w:rPr>
                <w:lang w:eastAsia="ko-KR"/>
              </w:rPr>
            </w:pPr>
            <w:r w:rsidRPr="00612923">
              <w:rPr>
                <w:lang w:eastAsia="ko-KR"/>
              </w:rPr>
              <w:t>Total</w:t>
            </w:r>
          </w:p>
        </w:tc>
        <w:tc>
          <w:tcPr>
            <w:tcW w:w="1170" w:type="dxa"/>
            <w:shd w:val="clear" w:color="auto" w:fill="auto"/>
            <w:noWrap/>
            <w:vAlign w:val="center"/>
            <w:hideMark/>
          </w:tcPr>
          <w:p w:rsidR="00FD127A" w:rsidRPr="00612923" w:rsidRDefault="00FD127A" w:rsidP="0024441D">
            <w:pPr>
              <w:pStyle w:val="TableText"/>
              <w:rPr>
                <w:lang w:eastAsia="ko-KR"/>
              </w:rPr>
            </w:pPr>
            <w:r w:rsidRPr="00612923">
              <w:rPr>
                <w:lang w:eastAsia="ko-KR"/>
              </w:rPr>
              <w:t>826</w:t>
            </w:r>
          </w:p>
        </w:tc>
        <w:tc>
          <w:tcPr>
            <w:tcW w:w="1890" w:type="dxa"/>
            <w:shd w:val="clear" w:color="auto" w:fill="auto"/>
            <w:noWrap/>
            <w:vAlign w:val="center"/>
            <w:hideMark/>
          </w:tcPr>
          <w:p w:rsidR="00FD127A" w:rsidRPr="00612923" w:rsidRDefault="00FD127A" w:rsidP="0024441D">
            <w:pPr>
              <w:pStyle w:val="TableText"/>
              <w:rPr>
                <w:lang w:eastAsia="ko-KR"/>
              </w:rPr>
            </w:pPr>
            <w:r w:rsidRPr="00612923">
              <w:rPr>
                <w:lang w:eastAsia="ko-KR"/>
              </w:rPr>
              <w:t>1.03%</w:t>
            </w:r>
          </w:p>
        </w:tc>
      </w:tr>
    </w:tbl>
    <w:p w:rsidR="00FD127A" w:rsidRPr="00612923" w:rsidRDefault="00FD127A" w:rsidP="00FD127A">
      <w:pPr>
        <w:pStyle w:val="BodyParaAfterTableFigure"/>
      </w:pPr>
      <w:r w:rsidRPr="00612923">
        <w:t>Dropouts can also be analyzed by looking at customer demographics.  Table 4-2</w:t>
      </w:r>
      <w:r w:rsidR="004A1B2F" w:rsidRPr="00612923">
        <w:t>9</w:t>
      </w:r>
      <w:r w:rsidRPr="00612923">
        <w:t xml:space="preserve"> shows the number and percentage of customers who dropped out from November 2011 through October 2012 by LCA.  The table also includes the percent of customer in the SmartRate program by LCA.  The Greater Bay Area had the largest number of dropouts, but that LCA also has the greatest number of SmartRate customers.  In fact, Greater Bay Area had a lower number of dropouts than would be expected.  31% of customers who dropped out came from the Greater Bay Area whereas 42% of all SmartRate customers are located in the Greater Bay Area. Overall, drop-outs were fairly uniform across the territory, accounting for SmartRate population size.  The sample size underlying this analysis</w:t>
      </w:r>
      <w:r w:rsidR="004A1B2F" w:rsidRPr="00612923">
        <w:t>—</w:t>
      </w:r>
      <w:r w:rsidRPr="00612923">
        <w:t>781 de</w:t>
      </w:r>
      <w:r w:rsidR="004A1B2F" w:rsidRPr="00612923">
        <w:noBreakHyphen/>
      </w:r>
      <w:proofErr w:type="spellStart"/>
      <w:r w:rsidRPr="00612923">
        <w:t>enrolled</w:t>
      </w:r>
      <w:proofErr w:type="spellEnd"/>
      <w:r w:rsidRPr="00612923">
        <w:t xml:space="preserve"> customers</w:t>
      </w:r>
      <w:r w:rsidR="004A1B2F" w:rsidRPr="00612923">
        <w:t>—</w:t>
      </w:r>
      <w:proofErr w:type="gramStart"/>
      <w:r w:rsidRPr="00612923">
        <w:t>is</w:t>
      </w:r>
      <w:proofErr w:type="gramEnd"/>
      <w:r w:rsidRPr="00612923">
        <w:t xml:space="preserve"> small enough that no strong conclusions should be drawn from small differences in rates across LCAs.</w:t>
      </w:r>
    </w:p>
    <w:p w:rsidR="00FD127A" w:rsidRPr="00612923" w:rsidRDefault="00FD127A" w:rsidP="00FD127A">
      <w:pPr>
        <w:pStyle w:val="TableFigureCaption"/>
      </w:pPr>
      <w:r w:rsidRPr="00612923">
        <w:t>Table 4-2</w:t>
      </w:r>
      <w:r w:rsidR="008702A8" w:rsidRPr="00612923">
        <w:t>9</w:t>
      </w:r>
      <w:r w:rsidRPr="00612923">
        <w:t>: Customer De-enrollments by LCA</w:t>
      </w:r>
    </w:p>
    <w:tbl>
      <w:tblPr>
        <w:tblW w:w="6760"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0"/>
        <w:gridCol w:w="1700"/>
        <w:gridCol w:w="1760"/>
        <w:gridCol w:w="1660"/>
      </w:tblGrid>
      <w:tr w:rsidR="00FD127A" w:rsidRPr="00612923" w:rsidTr="0024441D">
        <w:trPr>
          <w:trHeight w:val="636"/>
          <w:jc w:val="center"/>
        </w:trPr>
        <w:tc>
          <w:tcPr>
            <w:tcW w:w="1640" w:type="dxa"/>
            <w:tcBorders>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lang w:eastAsia="ko-KR"/>
              </w:rPr>
            </w:pPr>
            <w:r w:rsidRPr="00612923">
              <w:rPr>
                <w:sz w:val="18"/>
                <w:szCs w:val="18"/>
                <w:lang w:eastAsia="ko-KR"/>
              </w:rPr>
              <w:t>LCA</w:t>
            </w:r>
          </w:p>
        </w:tc>
        <w:tc>
          <w:tcPr>
            <w:tcW w:w="170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lang w:eastAsia="ko-KR"/>
              </w:rPr>
            </w:pPr>
            <w:r w:rsidRPr="00612923">
              <w:rPr>
                <w:sz w:val="18"/>
                <w:szCs w:val="18"/>
                <w:lang w:eastAsia="ko-KR"/>
              </w:rPr>
              <w:t># of De-enrolled Customers</w:t>
            </w:r>
          </w:p>
        </w:tc>
        <w:tc>
          <w:tcPr>
            <w:tcW w:w="176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lang w:eastAsia="ko-KR"/>
              </w:rPr>
            </w:pPr>
            <w:r w:rsidRPr="00612923">
              <w:rPr>
                <w:sz w:val="18"/>
                <w:szCs w:val="18"/>
                <w:lang w:eastAsia="ko-KR"/>
              </w:rPr>
              <w:t>% of De-enrolled Customers</w:t>
            </w:r>
          </w:p>
        </w:tc>
        <w:tc>
          <w:tcPr>
            <w:tcW w:w="1660" w:type="dxa"/>
            <w:tcBorders>
              <w:left w:val="single" w:sz="4" w:space="0" w:color="FFFFFF" w:themeColor="background1"/>
            </w:tcBorders>
            <w:shd w:val="clear" w:color="000000" w:fill="1F497D"/>
            <w:vAlign w:val="center"/>
            <w:hideMark/>
          </w:tcPr>
          <w:p w:rsidR="00FD127A" w:rsidRPr="00612923" w:rsidRDefault="00FD127A" w:rsidP="00254844">
            <w:pPr>
              <w:pStyle w:val="TableHeader"/>
              <w:keepNext/>
              <w:rPr>
                <w:sz w:val="18"/>
                <w:szCs w:val="18"/>
                <w:lang w:eastAsia="ko-KR"/>
              </w:rPr>
            </w:pPr>
            <w:r w:rsidRPr="00612923">
              <w:rPr>
                <w:sz w:val="18"/>
                <w:szCs w:val="18"/>
                <w:lang w:eastAsia="ko-KR"/>
              </w:rPr>
              <w:t>% of SmartRate Customers</w:t>
            </w:r>
          </w:p>
        </w:tc>
      </w:tr>
      <w:tr w:rsidR="00FD127A" w:rsidRPr="00612923" w:rsidTr="0024441D">
        <w:trPr>
          <w:trHeight w:val="300"/>
          <w:jc w:val="center"/>
        </w:trPr>
        <w:tc>
          <w:tcPr>
            <w:tcW w:w="164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Greater Bay Area</w:t>
            </w:r>
          </w:p>
        </w:tc>
        <w:tc>
          <w:tcPr>
            <w:tcW w:w="170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241</w:t>
            </w:r>
          </w:p>
        </w:tc>
        <w:tc>
          <w:tcPr>
            <w:tcW w:w="17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29%</w:t>
            </w:r>
          </w:p>
        </w:tc>
        <w:tc>
          <w:tcPr>
            <w:tcW w:w="16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42%</w:t>
            </w:r>
          </w:p>
        </w:tc>
      </w:tr>
      <w:tr w:rsidR="00FD127A" w:rsidRPr="00612923" w:rsidTr="0024441D">
        <w:trPr>
          <w:trHeight w:val="300"/>
          <w:jc w:val="center"/>
        </w:trPr>
        <w:tc>
          <w:tcPr>
            <w:tcW w:w="164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Greater Fresno</w:t>
            </w:r>
          </w:p>
        </w:tc>
        <w:tc>
          <w:tcPr>
            <w:tcW w:w="170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129</w:t>
            </w:r>
          </w:p>
        </w:tc>
        <w:tc>
          <w:tcPr>
            <w:tcW w:w="17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16%</w:t>
            </w:r>
          </w:p>
        </w:tc>
        <w:tc>
          <w:tcPr>
            <w:tcW w:w="16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11%</w:t>
            </w:r>
          </w:p>
        </w:tc>
      </w:tr>
      <w:tr w:rsidR="00FD127A" w:rsidRPr="00612923" w:rsidTr="0024441D">
        <w:trPr>
          <w:trHeight w:val="300"/>
          <w:jc w:val="center"/>
        </w:trPr>
        <w:tc>
          <w:tcPr>
            <w:tcW w:w="164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Humboldt</w:t>
            </w:r>
          </w:p>
        </w:tc>
        <w:tc>
          <w:tcPr>
            <w:tcW w:w="170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w:t>
            </w:r>
          </w:p>
        </w:tc>
        <w:tc>
          <w:tcPr>
            <w:tcW w:w="17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w:t>
            </w:r>
          </w:p>
        </w:tc>
        <w:tc>
          <w:tcPr>
            <w:tcW w:w="16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0%</w:t>
            </w:r>
          </w:p>
        </w:tc>
      </w:tr>
      <w:tr w:rsidR="00FD127A" w:rsidRPr="00612923" w:rsidTr="0024441D">
        <w:trPr>
          <w:trHeight w:val="300"/>
          <w:jc w:val="center"/>
        </w:trPr>
        <w:tc>
          <w:tcPr>
            <w:tcW w:w="164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Kern</w:t>
            </w:r>
          </w:p>
        </w:tc>
        <w:tc>
          <w:tcPr>
            <w:tcW w:w="170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108</w:t>
            </w:r>
          </w:p>
        </w:tc>
        <w:tc>
          <w:tcPr>
            <w:tcW w:w="17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13%</w:t>
            </w:r>
          </w:p>
        </w:tc>
        <w:tc>
          <w:tcPr>
            <w:tcW w:w="16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9%</w:t>
            </w:r>
          </w:p>
        </w:tc>
      </w:tr>
      <w:tr w:rsidR="00FD127A" w:rsidRPr="00612923" w:rsidTr="0024441D">
        <w:trPr>
          <w:trHeight w:val="300"/>
          <w:jc w:val="center"/>
        </w:trPr>
        <w:tc>
          <w:tcPr>
            <w:tcW w:w="164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Northern Coast</w:t>
            </w:r>
          </w:p>
        </w:tc>
        <w:tc>
          <w:tcPr>
            <w:tcW w:w="170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40</w:t>
            </w:r>
          </w:p>
        </w:tc>
        <w:tc>
          <w:tcPr>
            <w:tcW w:w="17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5%</w:t>
            </w:r>
          </w:p>
        </w:tc>
        <w:tc>
          <w:tcPr>
            <w:tcW w:w="16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5%</w:t>
            </w:r>
          </w:p>
        </w:tc>
      </w:tr>
      <w:tr w:rsidR="00FD127A" w:rsidRPr="00612923" w:rsidTr="0024441D">
        <w:trPr>
          <w:trHeight w:val="300"/>
          <w:jc w:val="center"/>
        </w:trPr>
        <w:tc>
          <w:tcPr>
            <w:tcW w:w="164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Other</w:t>
            </w:r>
          </w:p>
        </w:tc>
        <w:tc>
          <w:tcPr>
            <w:tcW w:w="170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133</w:t>
            </w:r>
          </w:p>
        </w:tc>
        <w:tc>
          <w:tcPr>
            <w:tcW w:w="17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16%</w:t>
            </w:r>
          </w:p>
        </w:tc>
        <w:tc>
          <w:tcPr>
            <w:tcW w:w="16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15%</w:t>
            </w:r>
          </w:p>
        </w:tc>
      </w:tr>
      <w:tr w:rsidR="00FD127A" w:rsidRPr="00612923" w:rsidTr="0024441D">
        <w:trPr>
          <w:trHeight w:val="300"/>
          <w:jc w:val="center"/>
        </w:trPr>
        <w:tc>
          <w:tcPr>
            <w:tcW w:w="164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Sierra</w:t>
            </w:r>
          </w:p>
        </w:tc>
        <w:tc>
          <w:tcPr>
            <w:tcW w:w="170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102</w:t>
            </w:r>
          </w:p>
        </w:tc>
        <w:tc>
          <w:tcPr>
            <w:tcW w:w="17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12%</w:t>
            </w:r>
          </w:p>
        </w:tc>
        <w:tc>
          <w:tcPr>
            <w:tcW w:w="16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9%</w:t>
            </w:r>
          </w:p>
        </w:tc>
      </w:tr>
      <w:tr w:rsidR="00FD127A" w:rsidRPr="00612923" w:rsidTr="0024441D">
        <w:trPr>
          <w:trHeight w:val="300"/>
          <w:jc w:val="center"/>
        </w:trPr>
        <w:tc>
          <w:tcPr>
            <w:tcW w:w="164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Stockton</w:t>
            </w:r>
          </w:p>
        </w:tc>
        <w:tc>
          <w:tcPr>
            <w:tcW w:w="170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72</w:t>
            </w:r>
          </w:p>
        </w:tc>
        <w:tc>
          <w:tcPr>
            <w:tcW w:w="17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9%</w:t>
            </w:r>
          </w:p>
        </w:tc>
        <w:tc>
          <w:tcPr>
            <w:tcW w:w="166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8%</w:t>
            </w:r>
          </w:p>
        </w:tc>
      </w:tr>
      <w:tr w:rsidR="00FD127A" w:rsidRPr="00612923" w:rsidTr="0024441D">
        <w:trPr>
          <w:trHeight w:val="300"/>
          <w:jc w:val="center"/>
        </w:trPr>
        <w:tc>
          <w:tcPr>
            <w:tcW w:w="1640" w:type="dxa"/>
            <w:shd w:val="clear" w:color="auto" w:fill="auto"/>
            <w:noWrap/>
            <w:vAlign w:val="center"/>
            <w:hideMark/>
          </w:tcPr>
          <w:p w:rsidR="00FD127A" w:rsidRPr="00612923" w:rsidRDefault="00FD127A" w:rsidP="0024441D">
            <w:pPr>
              <w:pStyle w:val="TableText"/>
              <w:rPr>
                <w:lang w:eastAsia="ko-KR"/>
              </w:rPr>
            </w:pPr>
            <w:r w:rsidRPr="00612923">
              <w:rPr>
                <w:lang w:eastAsia="ko-KR"/>
              </w:rPr>
              <w:t>All</w:t>
            </w:r>
          </w:p>
        </w:tc>
        <w:tc>
          <w:tcPr>
            <w:tcW w:w="1700" w:type="dxa"/>
            <w:shd w:val="clear" w:color="auto" w:fill="auto"/>
            <w:noWrap/>
            <w:vAlign w:val="center"/>
            <w:hideMark/>
          </w:tcPr>
          <w:p w:rsidR="00FD127A" w:rsidRPr="00612923" w:rsidRDefault="00FD127A" w:rsidP="0024441D">
            <w:pPr>
              <w:pStyle w:val="TableText"/>
              <w:rPr>
                <w:lang w:eastAsia="ko-KR"/>
              </w:rPr>
            </w:pPr>
            <w:r w:rsidRPr="00612923">
              <w:rPr>
                <w:lang w:eastAsia="ko-KR"/>
              </w:rPr>
              <w:t>826</w:t>
            </w:r>
          </w:p>
        </w:tc>
        <w:tc>
          <w:tcPr>
            <w:tcW w:w="1760" w:type="dxa"/>
            <w:shd w:val="clear" w:color="auto" w:fill="auto"/>
            <w:noWrap/>
            <w:vAlign w:val="center"/>
            <w:hideMark/>
          </w:tcPr>
          <w:p w:rsidR="00FD127A" w:rsidRPr="00612923" w:rsidRDefault="00FD127A" w:rsidP="0024441D">
            <w:pPr>
              <w:pStyle w:val="TableText"/>
              <w:rPr>
                <w:lang w:eastAsia="ko-KR"/>
              </w:rPr>
            </w:pPr>
            <w:r w:rsidRPr="00612923">
              <w:rPr>
                <w:lang w:eastAsia="ko-KR"/>
              </w:rPr>
              <w:t>100%</w:t>
            </w:r>
          </w:p>
        </w:tc>
        <w:tc>
          <w:tcPr>
            <w:tcW w:w="1660" w:type="dxa"/>
            <w:shd w:val="clear" w:color="auto" w:fill="auto"/>
            <w:noWrap/>
            <w:vAlign w:val="center"/>
            <w:hideMark/>
          </w:tcPr>
          <w:p w:rsidR="00FD127A" w:rsidRPr="00612923" w:rsidRDefault="00FD127A" w:rsidP="0024441D">
            <w:pPr>
              <w:pStyle w:val="TableText"/>
              <w:rPr>
                <w:lang w:eastAsia="ko-KR"/>
              </w:rPr>
            </w:pPr>
            <w:r w:rsidRPr="00612923">
              <w:rPr>
                <w:lang w:eastAsia="ko-KR"/>
              </w:rPr>
              <w:t>100%</w:t>
            </w:r>
          </w:p>
        </w:tc>
      </w:tr>
    </w:tbl>
    <w:p w:rsidR="00FD127A" w:rsidRPr="00612923" w:rsidRDefault="00FD127A" w:rsidP="00FD127A">
      <w:pPr>
        <w:pStyle w:val="BodyParaAfterTableFigure"/>
      </w:pPr>
      <w:r w:rsidRPr="00612923">
        <w:lastRenderedPageBreak/>
        <w:t>Customer de-enrollments can also be broken down by CARE status.  Table 4-</w:t>
      </w:r>
      <w:r w:rsidR="004A1B2F" w:rsidRPr="00612923">
        <w:t>30</w:t>
      </w:r>
      <w:r w:rsidRPr="00612923">
        <w:t xml:space="preserve"> shows that non-CARE customers de-enroll at a higher rate than CARE customers.  Although 75% of the SmartRate population is non-CARE, 83% of de-enrollments in 2012 were non-CARE customers.  </w:t>
      </w:r>
    </w:p>
    <w:p w:rsidR="00FD127A" w:rsidRPr="00612923" w:rsidRDefault="00FD127A" w:rsidP="00FD127A">
      <w:pPr>
        <w:pStyle w:val="TableFigureCaption"/>
      </w:pPr>
      <w:r w:rsidRPr="00612923">
        <w:t>Table 4-</w:t>
      </w:r>
      <w:r w:rsidR="008702A8" w:rsidRPr="00612923">
        <w:t>30</w:t>
      </w:r>
      <w:r w:rsidRPr="00612923">
        <w:t>: Customer De-enrollments by CARE Status</w:t>
      </w:r>
    </w:p>
    <w:tbl>
      <w:tblPr>
        <w:tblW w:w="6226" w:type="dxa"/>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1"/>
        <w:gridCol w:w="1750"/>
        <w:gridCol w:w="1847"/>
        <w:gridCol w:w="1448"/>
      </w:tblGrid>
      <w:tr w:rsidR="00FD127A" w:rsidRPr="00612923" w:rsidTr="0024441D">
        <w:trPr>
          <w:trHeight w:val="938"/>
          <w:jc w:val="center"/>
        </w:trPr>
        <w:tc>
          <w:tcPr>
            <w:tcW w:w="1181" w:type="dxa"/>
            <w:tcBorders>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CARE Status</w:t>
            </w:r>
          </w:p>
        </w:tc>
        <w:tc>
          <w:tcPr>
            <w:tcW w:w="1750"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of De-enrolled Customers</w:t>
            </w:r>
          </w:p>
        </w:tc>
        <w:tc>
          <w:tcPr>
            <w:tcW w:w="1847" w:type="dxa"/>
            <w:tcBorders>
              <w:left w:val="single" w:sz="4" w:space="0" w:color="FFFFFF" w:themeColor="background1"/>
              <w:righ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of De-enrolled Customers</w:t>
            </w:r>
          </w:p>
        </w:tc>
        <w:tc>
          <w:tcPr>
            <w:tcW w:w="1448" w:type="dxa"/>
            <w:tcBorders>
              <w:left w:val="single" w:sz="4" w:space="0" w:color="FFFFFF" w:themeColor="background1"/>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of SmartRate Customers</w:t>
            </w:r>
          </w:p>
        </w:tc>
      </w:tr>
      <w:tr w:rsidR="00FD127A" w:rsidRPr="00612923" w:rsidTr="0024441D">
        <w:trPr>
          <w:trHeight w:val="297"/>
          <w:jc w:val="center"/>
        </w:trPr>
        <w:tc>
          <w:tcPr>
            <w:tcW w:w="1181"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Non-CARE</w:t>
            </w:r>
          </w:p>
        </w:tc>
        <w:tc>
          <w:tcPr>
            <w:tcW w:w="175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683</w:t>
            </w:r>
          </w:p>
        </w:tc>
        <w:tc>
          <w:tcPr>
            <w:tcW w:w="1847"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83%</w:t>
            </w:r>
          </w:p>
        </w:tc>
        <w:tc>
          <w:tcPr>
            <w:tcW w:w="1448"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75%</w:t>
            </w:r>
          </w:p>
        </w:tc>
      </w:tr>
      <w:tr w:rsidR="00FD127A" w:rsidRPr="00612923" w:rsidTr="0024441D">
        <w:trPr>
          <w:trHeight w:val="297"/>
          <w:jc w:val="center"/>
        </w:trPr>
        <w:tc>
          <w:tcPr>
            <w:tcW w:w="1181"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CARE</w:t>
            </w:r>
          </w:p>
        </w:tc>
        <w:tc>
          <w:tcPr>
            <w:tcW w:w="1750"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143</w:t>
            </w:r>
          </w:p>
        </w:tc>
        <w:tc>
          <w:tcPr>
            <w:tcW w:w="1847"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17%</w:t>
            </w:r>
          </w:p>
        </w:tc>
        <w:tc>
          <w:tcPr>
            <w:tcW w:w="1448" w:type="dxa"/>
            <w:shd w:val="clear" w:color="auto" w:fill="auto"/>
            <w:noWrap/>
            <w:vAlign w:val="center"/>
            <w:hideMark/>
          </w:tcPr>
          <w:p w:rsidR="00FD127A" w:rsidRPr="00612923" w:rsidRDefault="00FD127A" w:rsidP="00254844">
            <w:pPr>
              <w:pStyle w:val="TableText"/>
              <w:keepNext/>
              <w:rPr>
                <w:lang w:eastAsia="ko-KR"/>
              </w:rPr>
            </w:pPr>
            <w:r w:rsidRPr="00612923">
              <w:rPr>
                <w:lang w:eastAsia="ko-KR"/>
              </w:rPr>
              <w:t>25%</w:t>
            </w:r>
          </w:p>
        </w:tc>
      </w:tr>
      <w:tr w:rsidR="00FD127A" w:rsidRPr="00612923" w:rsidTr="0024441D">
        <w:trPr>
          <w:trHeight w:val="297"/>
          <w:jc w:val="center"/>
        </w:trPr>
        <w:tc>
          <w:tcPr>
            <w:tcW w:w="1181" w:type="dxa"/>
            <w:shd w:val="clear" w:color="auto" w:fill="auto"/>
            <w:noWrap/>
            <w:vAlign w:val="center"/>
            <w:hideMark/>
          </w:tcPr>
          <w:p w:rsidR="00FD127A" w:rsidRPr="00612923" w:rsidRDefault="00FD127A" w:rsidP="0024441D">
            <w:pPr>
              <w:pStyle w:val="TableText"/>
              <w:rPr>
                <w:lang w:eastAsia="ko-KR"/>
              </w:rPr>
            </w:pPr>
            <w:r w:rsidRPr="00612923">
              <w:rPr>
                <w:lang w:eastAsia="ko-KR"/>
              </w:rPr>
              <w:t>All</w:t>
            </w:r>
          </w:p>
        </w:tc>
        <w:tc>
          <w:tcPr>
            <w:tcW w:w="1750" w:type="dxa"/>
            <w:shd w:val="clear" w:color="auto" w:fill="auto"/>
            <w:noWrap/>
            <w:vAlign w:val="center"/>
            <w:hideMark/>
          </w:tcPr>
          <w:p w:rsidR="00FD127A" w:rsidRPr="00612923" w:rsidRDefault="00FD127A" w:rsidP="0024441D">
            <w:pPr>
              <w:pStyle w:val="TableText"/>
              <w:rPr>
                <w:lang w:eastAsia="ko-KR"/>
              </w:rPr>
            </w:pPr>
            <w:r w:rsidRPr="00612923">
              <w:rPr>
                <w:lang w:eastAsia="ko-KR"/>
              </w:rPr>
              <w:t>826</w:t>
            </w:r>
          </w:p>
        </w:tc>
        <w:tc>
          <w:tcPr>
            <w:tcW w:w="1847" w:type="dxa"/>
            <w:shd w:val="clear" w:color="auto" w:fill="auto"/>
            <w:noWrap/>
            <w:vAlign w:val="center"/>
            <w:hideMark/>
          </w:tcPr>
          <w:p w:rsidR="00FD127A" w:rsidRPr="00612923" w:rsidRDefault="00FD127A" w:rsidP="0024441D">
            <w:pPr>
              <w:pStyle w:val="TableText"/>
              <w:rPr>
                <w:lang w:eastAsia="ko-KR"/>
              </w:rPr>
            </w:pPr>
            <w:r w:rsidRPr="00612923">
              <w:rPr>
                <w:lang w:eastAsia="ko-KR"/>
              </w:rPr>
              <w:t>100%</w:t>
            </w:r>
          </w:p>
        </w:tc>
        <w:tc>
          <w:tcPr>
            <w:tcW w:w="1448" w:type="dxa"/>
            <w:shd w:val="clear" w:color="auto" w:fill="auto"/>
            <w:noWrap/>
            <w:vAlign w:val="center"/>
            <w:hideMark/>
          </w:tcPr>
          <w:p w:rsidR="00FD127A" w:rsidRPr="00612923" w:rsidRDefault="00FD127A" w:rsidP="0024441D">
            <w:pPr>
              <w:pStyle w:val="TableText"/>
              <w:rPr>
                <w:lang w:eastAsia="ko-KR"/>
              </w:rPr>
            </w:pPr>
            <w:r w:rsidRPr="00612923">
              <w:rPr>
                <w:lang w:eastAsia="ko-KR"/>
              </w:rPr>
              <w:t>100%</w:t>
            </w:r>
          </w:p>
        </w:tc>
      </w:tr>
    </w:tbl>
    <w:p w:rsidR="00FD127A" w:rsidRPr="00612923" w:rsidRDefault="00FD127A" w:rsidP="00FD127A">
      <w:pPr>
        <w:pStyle w:val="BodyParaAfterTableFigure"/>
      </w:pPr>
      <w:r w:rsidRPr="00612923">
        <w:t>There is also the question of how bill impacts affect customer dropout rates, however in a summer with almost no losers, this effect may be trivial.  Table 4-3</w:t>
      </w:r>
      <w:r w:rsidR="004A1B2F" w:rsidRPr="00612923">
        <w:t>1</w:t>
      </w:r>
      <w:r w:rsidRPr="00612923">
        <w:t xml:space="preserve"> shows the average OAT and SmartRate monthly bills for active SmartRate customers and those who de-enrolled starting in June 2012.</w:t>
      </w:r>
      <w:r w:rsidRPr="00612923">
        <w:rPr>
          <w:rStyle w:val="FootnoteReference"/>
          <w:rFonts w:cs="Arial"/>
        </w:rPr>
        <w:footnoteReference w:id="27"/>
      </w:r>
      <w:r w:rsidRPr="00612923">
        <w:t xml:space="preserve">  Both groups showed savings over the summer months.  Customers who are still active on SmartRate showed slightly lower savings than customers who de-enrolled, but the difference is not significant.  This finding implies that customers are not dropping out due to bill losses.  </w:t>
      </w:r>
    </w:p>
    <w:p w:rsidR="00FD127A" w:rsidRPr="00612923" w:rsidRDefault="00FD127A" w:rsidP="00FD127A">
      <w:pPr>
        <w:pStyle w:val="TableFigureCaption"/>
      </w:pPr>
      <w:r w:rsidRPr="00612923">
        <w:t>Table 4-3</w:t>
      </w:r>
      <w:r w:rsidR="008702A8" w:rsidRPr="00612923">
        <w:t>1</w:t>
      </w:r>
      <w:r w:rsidRPr="00612923">
        <w:t>: Bill Impacts by Customer De-enrollment Status</w:t>
      </w:r>
    </w:p>
    <w:tbl>
      <w:tblPr>
        <w:tblW w:w="7780" w:type="dxa"/>
        <w:jc w:val="center"/>
        <w:tblInd w:w="97" w:type="dxa"/>
        <w:tblLook w:val="04A0"/>
      </w:tblPr>
      <w:tblGrid>
        <w:gridCol w:w="2980"/>
        <w:gridCol w:w="1140"/>
        <w:gridCol w:w="1340"/>
        <w:gridCol w:w="1195"/>
        <w:gridCol w:w="1195"/>
      </w:tblGrid>
      <w:tr w:rsidR="00FD127A" w:rsidRPr="00612923" w:rsidTr="00FD127A">
        <w:trPr>
          <w:trHeight w:val="804"/>
          <w:jc w:val="center"/>
        </w:trPr>
        <w:tc>
          <w:tcPr>
            <w:tcW w:w="2980" w:type="dxa"/>
            <w:tcBorders>
              <w:top w:val="single" w:sz="8" w:space="0" w:color="auto"/>
              <w:left w:val="single" w:sz="8" w:space="0" w:color="auto"/>
              <w:bottom w:val="nil"/>
              <w:right w:val="single" w:sz="8" w:space="0" w:color="FFFFFF"/>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w:t>
            </w:r>
          </w:p>
        </w:tc>
        <w:tc>
          <w:tcPr>
            <w:tcW w:w="114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Mean Monthly OAT Bill</w:t>
            </w:r>
          </w:p>
        </w:tc>
        <w:tc>
          <w:tcPr>
            <w:tcW w:w="134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Mean Monthly SmartRate Bill</w:t>
            </w:r>
          </w:p>
        </w:tc>
        <w:tc>
          <w:tcPr>
            <w:tcW w:w="1160" w:type="dxa"/>
            <w:tcBorders>
              <w:top w:val="single" w:sz="8" w:space="0" w:color="auto"/>
              <w:left w:val="nil"/>
              <w:bottom w:val="nil"/>
              <w:right w:val="single" w:sz="8" w:space="0" w:color="FFFFFF"/>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Difference</w:t>
            </w:r>
          </w:p>
        </w:tc>
        <w:tc>
          <w:tcPr>
            <w:tcW w:w="1160" w:type="dxa"/>
            <w:tcBorders>
              <w:top w:val="single" w:sz="8" w:space="0" w:color="auto"/>
              <w:left w:val="nil"/>
              <w:bottom w:val="nil"/>
              <w:right w:val="single" w:sz="8" w:space="0" w:color="auto"/>
            </w:tcBorders>
            <w:shd w:val="clear" w:color="000000" w:fill="1F497D"/>
            <w:vAlign w:val="center"/>
            <w:hideMark/>
          </w:tcPr>
          <w:p w:rsidR="00FD127A" w:rsidRPr="00612923" w:rsidRDefault="00FD127A" w:rsidP="00254844">
            <w:pPr>
              <w:pStyle w:val="TableHeader"/>
              <w:keepNext/>
              <w:rPr>
                <w:lang w:eastAsia="ko-KR"/>
              </w:rPr>
            </w:pPr>
            <w:r w:rsidRPr="00612923">
              <w:rPr>
                <w:lang w:eastAsia="ko-KR"/>
              </w:rPr>
              <w:t>% Difference</w:t>
            </w:r>
          </w:p>
        </w:tc>
      </w:tr>
      <w:tr w:rsidR="00FD127A" w:rsidRPr="00612923" w:rsidTr="00FD127A">
        <w:trPr>
          <w:trHeight w:val="300"/>
          <w:jc w:val="center"/>
        </w:trPr>
        <w:tc>
          <w:tcPr>
            <w:tcW w:w="29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Customers who are still enrolled</w:t>
            </w:r>
          </w:p>
        </w:tc>
        <w:tc>
          <w:tcPr>
            <w:tcW w:w="114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 xml:space="preserve">$110.03 </w:t>
            </w:r>
          </w:p>
        </w:tc>
        <w:tc>
          <w:tcPr>
            <w:tcW w:w="134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 xml:space="preserve">$96.61 </w:t>
            </w:r>
          </w:p>
        </w:tc>
        <w:tc>
          <w:tcPr>
            <w:tcW w:w="116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 xml:space="preserve">$13.42 </w:t>
            </w:r>
          </w:p>
        </w:tc>
        <w:tc>
          <w:tcPr>
            <w:tcW w:w="1160" w:type="dxa"/>
            <w:tcBorders>
              <w:top w:val="single" w:sz="8" w:space="0" w:color="auto"/>
              <w:left w:val="nil"/>
              <w:bottom w:val="single" w:sz="8" w:space="0" w:color="auto"/>
              <w:right w:val="single" w:sz="8" w:space="0" w:color="auto"/>
            </w:tcBorders>
            <w:shd w:val="clear" w:color="auto" w:fill="auto"/>
            <w:noWrap/>
            <w:vAlign w:val="center"/>
            <w:hideMark/>
          </w:tcPr>
          <w:p w:rsidR="00FD127A" w:rsidRPr="00612923" w:rsidRDefault="00FD127A" w:rsidP="00254844">
            <w:pPr>
              <w:pStyle w:val="TableText"/>
              <w:keepNext/>
              <w:rPr>
                <w:lang w:eastAsia="ko-KR"/>
              </w:rPr>
            </w:pPr>
            <w:r w:rsidRPr="00612923">
              <w:rPr>
                <w:lang w:eastAsia="ko-KR"/>
              </w:rPr>
              <w:t>12%</w:t>
            </w:r>
          </w:p>
        </w:tc>
      </w:tr>
      <w:tr w:rsidR="00FD127A" w:rsidRPr="00612923" w:rsidTr="00FD127A">
        <w:trPr>
          <w:trHeight w:val="300"/>
          <w:jc w:val="center"/>
        </w:trPr>
        <w:tc>
          <w:tcPr>
            <w:tcW w:w="2980" w:type="dxa"/>
            <w:tcBorders>
              <w:top w:val="nil"/>
              <w:left w:val="single" w:sz="8" w:space="0" w:color="auto"/>
              <w:bottom w:val="single" w:sz="8" w:space="0" w:color="auto"/>
              <w:right w:val="single" w:sz="8" w:space="0" w:color="auto"/>
            </w:tcBorders>
            <w:shd w:val="clear" w:color="auto" w:fill="auto"/>
            <w:noWrap/>
            <w:vAlign w:val="center"/>
            <w:hideMark/>
          </w:tcPr>
          <w:p w:rsidR="00FD127A" w:rsidRPr="00612923" w:rsidRDefault="00FD127A" w:rsidP="0024441D">
            <w:pPr>
              <w:pStyle w:val="TableText"/>
              <w:rPr>
                <w:lang w:eastAsia="ko-KR"/>
              </w:rPr>
            </w:pPr>
            <w:r w:rsidRPr="00612923">
              <w:rPr>
                <w:lang w:eastAsia="ko-KR"/>
              </w:rPr>
              <w:t>Customers who de-enrolled</w:t>
            </w:r>
          </w:p>
        </w:tc>
        <w:tc>
          <w:tcPr>
            <w:tcW w:w="114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4441D">
            <w:pPr>
              <w:pStyle w:val="TableText"/>
              <w:rPr>
                <w:lang w:eastAsia="ko-KR"/>
              </w:rPr>
            </w:pPr>
            <w:r w:rsidRPr="00612923">
              <w:rPr>
                <w:lang w:eastAsia="ko-KR"/>
              </w:rPr>
              <w:t xml:space="preserve">$156.89 </w:t>
            </w:r>
          </w:p>
        </w:tc>
        <w:tc>
          <w:tcPr>
            <w:tcW w:w="134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4441D">
            <w:pPr>
              <w:pStyle w:val="TableText"/>
              <w:rPr>
                <w:lang w:eastAsia="ko-KR"/>
              </w:rPr>
            </w:pPr>
            <w:r w:rsidRPr="00612923">
              <w:rPr>
                <w:lang w:eastAsia="ko-KR"/>
              </w:rPr>
              <w:t xml:space="preserve">$135.32 </w:t>
            </w:r>
          </w:p>
        </w:tc>
        <w:tc>
          <w:tcPr>
            <w:tcW w:w="116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4441D">
            <w:pPr>
              <w:pStyle w:val="TableText"/>
              <w:rPr>
                <w:lang w:eastAsia="ko-KR"/>
              </w:rPr>
            </w:pPr>
            <w:r w:rsidRPr="00612923">
              <w:rPr>
                <w:lang w:eastAsia="ko-KR"/>
              </w:rPr>
              <w:t xml:space="preserve">$21.57 </w:t>
            </w:r>
          </w:p>
        </w:tc>
        <w:tc>
          <w:tcPr>
            <w:tcW w:w="1160" w:type="dxa"/>
            <w:tcBorders>
              <w:top w:val="nil"/>
              <w:left w:val="nil"/>
              <w:bottom w:val="single" w:sz="8" w:space="0" w:color="auto"/>
              <w:right w:val="single" w:sz="8" w:space="0" w:color="auto"/>
            </w:tcBorders>
            <w:shd w:val="clear" w:color="auto" w:fill="auto"/>
            <w:noWrap/>
            <w:vAlign w:val="center"/>
            <w:hideMark/>
          </w:tcPr>
          <w:p w:rsidR="00FD127A" w:rsidRPr="00612923" w:rsidRDefault="00FD127A" w:rsidP="0024441D">
            <w:pPr>
              <w:pStyle w:val="TableText"/>
              <w:rPr>
                <w:lang w:eastAsia="ko-KR"/>
              </w:rPr>
            </w:pPr>
            <w:r w:rsidRPr="00612923">
              <w:rPr>
                <w:lang w:eastAsia="ko-KR"/>
              </w:rPr>
              <w:t>14%</w:t>
            </w:r>
          </w:p>
        </w:tc>
      </w:tr>
    </w:tbl>
    <w:p w:rsidR="00FD127A" w:rsidRPr="00612923" w:rsidRDefault="00FD127A" w:rsidP="0024441D">
      <w:pPr>
        <w:pStyle w:val="BodyParaAfterTableFigure"/>
        <w:rPr>
          <w:rFonts w:ascii="Arial Bold" w:hAnsi="Arial Bold"/>
          <w:b/>
          <w:color w:val="433B67"/>
          <w:sz w:val="28"/>
          <w:szCs w:val="28"/>
        </w:rPr>
      </w:pPr>
      <w:r w:rsidRPr="00612923">
        <w:t xml:space="preserve">Finally, </w:t>
      </w:r>
      <w:r w:rsidR="00911840">
        <w:t xml:space="preserve">we examined </w:t>
      </w:r>
      <w:r w:rsidRPr="00612923">
        <w:t xml:space="preserve">customer dropout rates in </w:t>
      </w:r>
      <w:r w:rsidR="00911840">
        <w:t>relation to the length</w:t>
      </w:r>
      <w:r w:rsidRPr="00612923">
        <w:t xml:space="preserve"> of time </w:t>
      </w:r>
      <w:r w:rsidR="00911840">
        <w:t xml:space="preserve">customers stayed in </w:t>
      </w:r>
      <w:r w:rsidRPr="00612923">
        <w:t>SmartRate.  Currently enrolled customers have been on SmartRate longer, on average, than customers who dropped out in 2012.  Currently enrolled customers have been on SmartRate on average for 12 months, with 50% of customers enrolled for more than 4 months. Customers who de-enrolled after June this year had been with the program on average for 9 months. However</w:t>
      </w:r>
      <w:r w:rsidR="004A1B2F" w:rsidRPr="00612923">
        <w:t>,</w:t>
      </w:r>
      <w:r w:rsidRPr="00612923">
        <w:t xml:space="preserve"> 50% of those drop outs were amongst customers who had been with the program for a month or less.  This difference is not very large, and</w:t>
      </w:r>
      <w:r w:rsidR="004A1B2F" w:rsidRPr="00612923">
        <w:t> </w:t>
      </w:r>
      <w:r w:rsidRPr="00612923">
        <w:t>part of the difference is due to the drop-out itself.  In addition, the overall distribution of time on</w:t>
      </w:r>
      <w:r w:rsidR="004A1B2F" w:rsidRPr="00612923">
        <w:t> </w:t>
      </w:r>
      <w:r w:rsidRPr="00612923">
        <w:t xml:space="preserve">SmartRate is similar across the groups, with the de-enrolled group having slightly lower values everywhere on the distribution, as expected.  There were more drop outs amongst the customers </w:t>
      </w:r>
      <w:r w:rsidR="004A1B2F" w:rsidRPr="00612923">
        <w:t xml:space="preserve">who </w:t>
      </w:r>
      <w:r w:rsidRPr="00612923">
        <w:t xml:space="preserve">signed up in the beginning of July but this seems to be due to large number of enrollments during that time as well.  This means that customers who dropped out in 2012 are not clustered in a specific group based on sign-up timing (i.e., customers who joined SmartRate early on or customers who recently joined SmartRate). </w:t>
      </w:r>
      <w:r w:rsidRPr="00612923">
        <w:br w:type="page"/>
      </w:r>
    </w:p>
    <w:p w:rsidR="00FD127A" w:rsidRPr="00612923" w:rsidRDefault="00FD127A" w:rsidP="0024441D">
      <w:pPr>
        <w:pStyle w:val="Heading1"/>
      </w:pPr>
      <w:bookmarkStart w:id="66" w:name="_Toc352567310"/>
      <w:r w:rsidRPr="00612923">
        <w:lastRenderedPageBreak/>
        <w:t>SmartRate Ex Ante Methods</w:t>
      </w:r>
      <w:bookmarkEnd w:id="51"/>
      <w:bookmarkEnd w:id="52"/>
      <w:bookmarkEnd w:id="53"/>
      <w:bookmarkEnd w:id="66"/>
    </w:p>
    <w:p w:rsidR="00562A90" w:rsidRPr="00612923" w:rsidRDefault="00562A90" w:rsidP="00562A90">
      <w:pPr>
        <w:pStyle w:val="BodyParagraph"/>
      </w:pPr>
      <w:r w:rsidRPr="00612923">
        <w:t>This section explains the steps used to predict ex ante load impacts.  There are a few issues that must be dealt with in this modeling.  First, the weather observed during events in 2012 is different than the ex ante weather conditions of interest.  Second, the population that experienced each event was not constant throughout the summer, and was not representative of the population for whom load impacts need to be forecasted.</w:t>
      </w:r>
    </w:p>
    <w:p w:rsidR="00562A90" w:rsidRPr="00612923" w:rsidRDefault="00562A90" w:rsidP="00562A90">
      <w:pPr>
        <w:pStyle w:val="BodyParagraph"/>
      </w:pPr>
      <w:r w:rsidRPr="00612923">
        <w:t>Finally, even if we combine load impact observations across 2011 and 2012, there are only 25 test events for each LCA to use for modeling.  The modeling procedure outlined here makes the most of the data that exists.</w:t>
      </w:r>
    </w:p>
    <w:p w:rsidR="00562A90" w:rsidRPr="00612923" w:rsidRDefault="00562A90" w:rsidP="00562A90">
      <w:pPr>
        <w:pStyle w:val="BodyBeforeBullet"/>
      </w:pPr>
      <w:r w:rsidRPr="00612923">
        <w:t>At a high level, the modeling steps consist of the following (each step was performed separately for SmartRate-only and dually-enrolled customers:</w:t>
      </w:r>
    </w:p>
    <w:p w:rsidR="00562A90" w:rsidRPr="00612923" w:rsidRDefault="00562A90" w:rsidP="00562A90">
      <w:pPr>
        <w:pStyle w:val="Bullets"/>
      </w:pPr>
      <w:r w:rsidRPr="00612923">
        <w:t>First, groups of SmartRate customers were identified who were representative of the population as of the end of 2012 and who experienced all the 2011 and 2012 SmartRate events.  Propensity score matching was used to find these groups;</w:t>
      </w:r>
    </w:p>
    <w:p w:rsidR="00562A90" w:rsidRPr="00612923" w:rsidRDefault="00562A90" w:rsidP="00562A90">
      <w:pPr>
        <w:pStyle w:val="Bullets"/>
      </w:pPr>
      <w:r w:rsidRPr="00612923">
        <w:t>Next, ex post estimates were developed for these customers for 2011 and 2012 using matched control groups of non-SmartRate customers for each year.  These control groups differ from those used to produce ex post estimates for reporting;</w:t>
      </w:r>
    </w:p>
    <w:p w:rsidR="00562A90" w:rsidRPr="00612923" w:rsidRDefault="00562A90" w:rsidP="00562A90">
      <w:pPr>
        <w:pStyle w:val="Bullets"/>
      </w:pPr>
      <w:r w:rsidRPr="00612923">
        <w:t xml:space="preserve">Then an ex ante regression model was developed to explain average ex post impacts from 2-7 PM as a function of temperatures that day.  This model was not estimated separately for each hour; rather, a single average value from 2-7 PM was used as the dependent variable.  This model was estimated at the level of each LCA separately.  The model was used to predict average impacts from 2 to 7 PM for the set of ex ante weather conditions;  </w:t>
      </w:r>
    </w:p>
    <w:p w:rsidR="00562A90" w:rsidRPr="00612923" w:rsidRDefault="00562A90" w:rsidP="00562A90">
      <w:pPr>
        <w:pStyle w:val="Bullets"/>
      </w:pPr>
      <w:r w:rsidRPr="00612923">
        <w:t xml:space="preserve">The ex ante impact estimates of average impact from 2 to 7 PM were then converted to hourly impacts from 2 to 7 PM using a scaling factor based the average ratio between impacts at different hours.  This step is necessary in order to adapt overall average event impact estimates from the first step to the need for hourly estimates.  The scaling factor was calculated by comparing average impacts from the entire event period to average impacts for each event hour based on ex post results;  </w:t>
      </w:r>
    </w:p>
    <w:p w:rsidR="00562A90" w:rsidRPr="00612923" w:rsidRDefault="00562A90" w:rsidP="00562A90">
      <w:pPr>
        <w:pStyle w:val="Bullets"/>
      </w:pPr>
      <w:r w:rsidRPr="00612923">
        <w:t xml:space="preserve">Next, whole-house reference loads from 2 to 7 PM were predicted for each set of ex ante weather conditions based on the loads observed over the summer of 2012.  Load shapes were estimated by taking the average load for each hour of the day, by LCA;  </w:t>
      </w:r>
    </w:p>
    <w:p w:rsidR="00562A90" w:rsidRPr="00612923" w:rsidRDefault="00562A90" w:rsidP="00562A90">
      <w:pPr>
        <w:pStyle w:val="Bullets"/>
      </w:pPr>
      <w:r w:rsidRPr="00612923">
        <w:t>Ex ante impact estimates were then adjusted to apply to the resource adequacy window of 1-6 PM rather than the SmartRate event window from 2011 of 2 to7 PM.  This calculation relied on the reference load estimates from the previous step; and</w:t>
      </w:r>
    </w:p>
    <w:p w:rsidR="00562A90" w:rsidRPr="00612923" w:rsidRDefault="00562A90" w:rsidP="00562A90">
      <w:pPr>
        <w:pStyle w:val="BulletLast"/>
      </w:pPr>
      <w:r w:rsidRPr="00612923">
        <w:t>Finally, a similar regression model was used to model snapback.</w:t>
      </w:r>
    </w:p>
    <w:p w:rsidR="00562A90" w:rsidRPr="00612923" w:rsidRDefault="00562A90" w:rsidP="00562A90">
      <w:pPr>
        <w:pStyle w:val="BodyParagraph"/>
      </w:pPr>
      <w:r w:rsidRPr="00612923">
        <w:t>The steps for estimating load impacts are described in detail below.  The steps used to predict whole-house loads and snap-back are described in Appendix A.</w:t>
      </w:r>
    </w:p>
    <w:p w:rsidR="00562A90" w:rsidRPr="00612923" w:rsidRDefault="00562A90" w:rsidP="00562A90">
      <w:pPr>
        <w:pStyle w:val="Heading2"/>
        <w:ind w:left="540" w:hanging="540"/>
      </w:pPr>
      <w:bookmarkStart w:id="67" w:name="_Toc352567311"/>
      <w:r w:rsidRPr="00612923">
        <w:t>Estimating Ex Ante Load Impacts for SmartRate</w:t>
      </w:r>
      <w:bookmarkEnd w:id="67"/>
      <w:r w:rsidRPr="00612923">
        <w:t xml:space="preserve"> </w:t>
      </w:r>
    </w:p>
    <w:p w:rsidR="00562A90" w:rsidRPr="00612923" w:rsidRDefault="00562A90" w:rsidP="00562A90">
      <w:pPr>
        <w:pStyle w:val="BodyParagraph"/>
      </w:pPr>
      <w:r w:rsidRPr="00612923">
        <w:t xml:space="preserve">Ex ante impact estimates were calculated by making predictions for ex ante weather conditions using a regression model of ex post impacts from 2011 and 2012.  The decision to use 2011 and 2012, but not earlier years was made in order to produce a reasonable number of events for modeling, but to also limit the number of hours spent finding representative populations of SmartRate populations and matched control groups.  </w:t>
      </w:r>
    </w:p>
    <w:p w:rsidR="00562A90" w:rsidRPr="00612923" w:rsidRDefault="00562A90" w:rsidP="00562A90">
      <w:pPr>
        <w:pStyle w:val="BodyParagraph"/>
      </w:pPr>
      <w:r w:rsidRPr="00612923">
        <w:lastRenderedPageBreak/>
        <w:t xml:space="preserve">The ex ante weather conditions are the same that were used for the 2011 SmartRate evaluation and have been chosen to be representative of 1-in-2 and 1-in-10 monthly peak days and 1-in-2 and 1-in-10 typical event days.  </w:t>
      </w:r>
    </w:p>
    <w:p w:rsidR="00562A90" w:rsidRPr="00612923" w:rsidRDefault="00562A90" w:rsidP="00562A90">
      <w:pPr>
        <w:pStyle w:val="BodyParagraph"/>
      </w:pPr>
      <w:r w:rsidRPr="00612923">
        <w:t xml:space="preserve">Prior to regression modeling, FSC developed two samples of customers--one that experienced all the 2011 events and one that experienced all the 2012 events--that had similar observable characteristics to the SmartRate population as of October 2012.  October 2012 is the most up-to-date snapshot we have of the SmartRate population and our ex ante load impact estimates are designed to be representative of that population.  These groups of customers were identified using the same procedure used to identify matched control groups for the 2011 and 2012 evaluations.  Customers were matched primarily on usage observed on hot, non-event days.  Details of this match and evidence of its validity are shown in Appendix </w:t>
      </w:r>
      <w:r w:rsidR="00612923">
        <w:t>C</w:t>
      </w:r>
      <w:r w:rsidRPr="00612923">
        <w:t>.</w:t>
      </w:r>
    </w:p>
    <w:p w:rsidR="00562A90" w:rsidRPr="00612923" w:rsidRDefault="00562A90" w:rsidP="00562A90">
      <w:pPr>
        <w:pStyle w:val="BodyParagraph"/>
      </w:pPr>
      <w:r w:rsidRPr="00612923">
        <w:t xml:space="preserve">Matched control groups were then developed for these groups of SmartRate customers, again using the same propensity score matching process.  Details of this match and evidence of its validity are also shown in Appendix </w:t>
      </w:r>
      <w:r w:rsidR="00612923">
        <w:t>C</w:t>
      </w:r>
      <w:r w:rsidRPr="00612923">
        <w:t xml:space="preserve">.  These matched control groups were used to estimate a set of ex post estimates for 2011 and 2012 that represent what the October 2012 SmartRate population would have provided if they had been in the program the whole time.  These ex post estimates are also shown in Appendix </w:t>
      </w:r>
      <w:r w:rsidR="00612923">
        <w:t>C</w:t>
      </w:r>
      <w:r w:rsidRPr="00612923">
        <w:t xml:space="preserve">.  With these estimates in hand, the remaining steps for ex ante estimation were quite similar to what was done in 2011.  </w:t>
      </w:r>
    </w:p>
    <w:p w:rsidR="00562A90" w:rsidRPr="00612923" w:rsidRDefault="00562A90" w:rsidP="00562A90">
      <w:pPr>
        <w:pStyle w:val="BodyParagraph"/>
      </w:pPr>
      <w:r w:rsidRPr="00612923">
        <w:t xml:space="preserve">An ex ante regression model of ex post impacts as a function of temperature was developed.  To determine the best regression to use for ex ante predictions, FSC tested dozens of models predicting ex post impacts based on different measures of recent temperature.  The testing regime consisted of cross-validation (which we also sometimes refer to as out-of-sample testing).  In this technique, the impact of each test event in each LCA is withheld from the regression model sequentially, one at a time, and the model is fit to the remaining test events each time and used to predict the load impact for the withheld event.  This leads to a dataset of estimated load impacts for each test event, which can be compared to the actual ex post load impact for that event.  Each model’s performance is summarized using the mean absolute percent error across all test events.  The same procedure was used for the 2011 evaluation.  An important point is that the predictive abilities of several different models were virtually identical, and more sophisticated models (including polynomials in temperature or cooling degree hours, or more complicated weighted averages of temperature) did not perform better than simpler averages of temperature.  The final model was chosen because it has predictive ability approximately as good as any other, and it uses the maximum amount of pre-event temperature information available in the specified ex ante weather conditions, without requiring assumptions about temperatures on the day prior to the event.  </w:t>
      </w:r>
    </w:p>
    <w:p w:rsidR="00562A90" w:rsidRPr="00612923" w:rsidRDefault="00562A90" w:rsidP="00562A90">
      <w:pPr>
        <w:pStyle w:val="BodyParagraph"/>
      </w:pPr>
      <w:r w:rsidRPr="00612923">
        <w:t>The model was estimated separately for each LCA and by SmartRate-only and dually-enrolled customers separately.  The final model specification takes as its dependent variable the ex post impact for each event, averaged over the entire event period.  Its only independent variable is the average temperature from midnight to 5 PM on the event day.  The final specification was:</w:t>
      </w:r>
    </w:p>
    <w:p w:rsidR="00562A90" w:rsidRPr="00612923" w:rsidRDefault="00562A90" w:rsidP="00562A90">
      <w:pPr>
        <w:pStyle w:val="BodyParagraph"/>
        <w:jc w:val="center"/>
        <w:rPr>
          <w:sz w:val="24"/>
          <w:szCs w:val="24"/>
        </w:rPr>
      </w:pPr>
      <m:oMathPara>
        <m:oMath>
          <m:r>
            <w:rPr>
              <w:rFonts w:ascii="Cambria Math" w:hAnsi="Cambria Math" w:cs="Arial"/>
            </w:rPr>
            <m:t>Impact</m:t>
          </m:r>
          <m:r>
            <w:rPr>
              <w:rFonts w:ascii="Cambria Math" w:cs="Arial"/>
            </w:rPr>
            <m:t>=</m:t>
          </m:r>
          <m:r>
            <w:rPr>
              <w:rFonts w:ascii="Cambria Math" w:hAnsi="Cambria Math" w:cs="Arial"/>
            </w:rPr>
            <m:t>a</m:t>
          </m:r>
          <m:r>
            <w:rPr>
              <w:rFonts w:ascii="Cambria Math" w:cs="Arial"/>
            </w:rPr>
            <m:t>+b</m:t>
          </m:r>
          <m:sSub>
            <m:sSubPr>
              <m:ctrlPr>
                <w:rPr>
                  <w:rFonts w:ascii="Cambria Math" w:hAnsi="Cambria Math" w:cs="Arial"/>
                  <w:sz w:val="24"/>
                  <w:szCs w:val="24"/>
                </w:rPr>
              </m:ctrlPr>
            </m:sSubPr>
            <m:e>
              <m:r>
                <w:rPr>
                  <w:rFonts w:ascii="Cambria Math" w:hAnsi="Cambria Math" w:cs="Arial"/>
                </w:rPr>
                <m:t>∙</m:t>
              </m:r>
              <m:r>
                <w:rPr>
                  <w:rFonts w:ascii="Cambria Math" w:cs="Arial"/>
                </w:rPr>
                <m:t>mean17</m:t>
              </m:r>
            </m:e>
            <m:sub>
              <m:r>
                <m:rPr>
                  <m:sty m:val="p"/>
                </m:rPr>
                <w:rPr>
                  <w:rFonts w:ascii="Cambria Math" w:hAnsi="Cambria Math" w:cs="Arial"/>
                  <w:sz w:val="24"/>
                  <w:szCs w:val="24"/>
                </w:rPr>
                <m:t xml:space="preserve"> </m:t>
              </m:r>
            </m:sub>
          </m:sSub>
          <m:r>
            <m:rPr>
              <m:sty m:val="b"/>
            </m:rPr>
            <w:rPr>
              <w:rFonts w:ascii="Cambria Math" w:hAnsi="Cambria Math"/>
            </w:rPr>
            <m:t>+ε</m:t>
          </m:r>
        </m:oMath>
      </m:oMathPara>
    </w:p>
    <w:p w:rsidR="00562A90" w:rsidRPr="00612923" w:rsidRDefault="00562A90" w:rsidP="00562A90">
      <w:pPr>
        <w:pStyle w:val="TableFigureCaption"/>
      </w:pPr>
      <w:r w:rsidRPr="00612923">
        <w:lastRenderedPageBreak/>
        <w:t xml:space="preserve">Table 5-1:  </w:t>
      </w:r>
      <w:r w:rsidRPr="00612923">
        <w:br/>
        <w:t>Description of SmartRate Ex Ante Load Regression Variables</w:t>
      </w:r>
    </w:p>
    <w:tbl>
      <w:tblPr>
        <w:tblW w:w="4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6"/>
        <w:gridCol w:w="8142"/>
      </w:tblGrid>
      <w:tr w:rsidR="00562A90" w:rsidRPr="00612923" w:rsidTr="0085403D">
        <w:trPr>
          <w:trHeight w:val="276"/>
          <w:tblHeader/>
          <w:jc w:val="center"/>
        </w:trPr>
        <w:tc>
          <w:tcPr>
            <w:tcW w:w="668" w:type="pct"/>
            <w:tcBorders>
              <w:top w:val="single" w:sz="4" w:space="0" w:color="auto"/>
              <w:left w:val="single" w:sz="4" w:space="0" w:color="auto"/>
              <w:bottom w:val="single" w:sz="4" w:space="0" w:color="auto"/>
              <w:right w:val="single" w:sz="8" w:space="0" w:color="FFFFFF"/>
            </w:tcBorders>
            <w:shd w:val="clear" w:color="auto" w:fill="1F497D"/>
            <w:hideMark/>
          </w:tcPr>
          <w:p w:rsidR="00562A90" w:rsidRPr="00612923" w:rsidRDefault="00562A90" w:rsidP="0085403D">
            <w:pPr>
              <w:pStyle w:val="TableHeader"/>
              <w:keepNext/>
            </w:pPr>
            <w:r w:rsidRPr="00612923">
              <w:t>Variable</w:t>
            </w:r>
          </w:p>
        </w:tc>
        <w:tc>
          <w:tcPr>
            <w:tcW w:w="4332" w:type="pct"/>
            <w:tcBorders>
              <w:top w:val="single" w:sz="4" w:space="0" w:color="auto"/>
              <w:left w:val="single" w:sz="8" w:space="0" w:color="FFFFFF"/>
              <w:bottom w:val="single" w:sz="4" w:space="0" w:color="auto"/>
              <w:right w:val="single" w:sz="4" w:space="0" w:color="auto"/>
            </w:tcBorders>
            <w:shd w:val="clear" w:color="auto" w:fill="1F497D"/>
            <w:hideMark/>
          </w:tcPr>
          <w:p w:rsidR="00562A90" w:rsidRPr="00612923" w:rsidRDefault="00562A90" w:rsidP="0085403D">
            <w:pPr>
              <w:pStyle w:val="TableHeader"/>
              <w:keepNext/>
            </w:pPr>
            <w:r w:rsidRPr="00612923">
              <w:t>Description</w:t>
            </w:r>
          </w:p>
        </w:tc>
      </w:tr>
      <w:tr w:rsidR="00562A90" w:rsidRPr="00612923" w:rsidTr="0085403D">
        <w:trPr>
          <w:trHeight w:val="276"/>
          <w:jc w:val="center"/>
        </w:trPr>
        <w:tc>
          <w:tcPr>
            <w:tcW w:w="6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562A90" w:rsidRPr="00612923" w:rsidRDefault="00562A90" w:rsidP="0085403D">
            <w:pPr>
              <w:pStyle w:val="TableText"/>
              <w:keepNext/>
              <w:rPr>
                <w:rFonts w:ascii="Calibri" w:hAnsi="Calibri"/>
                <w:i/>
              </w:rPr>
            </w:pPr>
            <w:r w:rsidRPr="00612923">
              <w:rPr>
                <w:rFonts w:ascii="Calibri" w:hAnsi="Calibri"/>
                <w:i/>
              </w:rPr>
              <w:t>Impact (kW)</w:t>
            </w:r>
          </w:p>
        </w:tc>
        <w:tc>
          <w:tcPr>
            <w:tcW w:w="4332" w:type="pct"/>
            <w:tcBorders>
              <w:top w:val="single" w:sz="4" w:space="0" w:color="auto"/>
              <w:left w:val="single" w:sz="4" w:space="0" w:color="auto"/>
              <w:bottom w:val="single" w:sz="4" w:space="0" w:color="auto"/>
              <w:right w:val="single" w:sz="4" w:space="0" w:color="auto"/>
            </w:tcBorders>
            <w:shd w:val="clear" w:color="auto" w:fill="FFFFFF"/>
            <w:hideMark/>
          </w:tcPr>
          <w:p w:rsidR="00562A90" w:rsidRPr="00612923" w:rsidRDefault="00562A90" w:rsidP="0085403D">
            <w:pPr>
              <w:pStyle w:val="TableText"/>
              <w:keepNext/>
              <w:rPr>
                <w:szCs w:val="18"/>
              </w:rPr>
            </w:pPr>
            <w:r w:rsidRPr="00612923">
              <w:rPr>
                <w:szCs w:val="18"/>
              </w:rPr>
              <w:t>Per customer ex post load impact for each event day, averaged over the event period</w:t>
            </w:r>
          </w:p>
        </w:tc>
      </w:tr>
      <w:tr w:rsidR="00562A90" w:rsidRPr="00612923" w:rsidTr="0085403D">
        <w:trPr>
          <w:trHeight w:val="276"/>
          <w:jc w:val="center"/>
        </w:trPr>
        <w:tc>
          <w:tcPr>
            <w:tcW w:w="66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562A90" w:rsidRPr="00612923" w:rsidRDefault="00562A90" w:rsidP="0085403D">
            <w:pPr>
              <w:pStyle w:val="TableText"/>
              <w:keepNext/>
              <w:rPr>
                <w:szCs w:val="18"/>
              </w:rPr>
            </w:pPr>
            <m:oMathPara>
              <m:oMathParaPr>
                <m:jc m:val="left"/>
              </m:oMathParaPr>
              <m:oMath>
                <m:r>
                  <w:rPr>
                    <w:rFonts w:ascii="Cambria Math" w:hAnsi="Cambria Math"/>
                  </w:rPr>
                  <m:t>a</m:t>
                </m:r>
              </m:oMath>
            </m:oMathPara>
          </w:p>
        </w:tc>
        <w:tc>
          <w:tcPr>
            <w:tcW w:w="4332" w:type="pct"/>
            <w:tcBorders>
              <w:top w:val="single" w:sz="4" w:space="0" w:color="auto"/>
              <w:left w:val="single" w:sz="4" w:space="0" w:color="auto"/>
              <w:bottom w:val="single" w:sz="4" w:space="0" w:color="auto"/>
              <w:right w:val="single" w:sz="4" w:space="0" w:color="auto"/>
            </w:tcBorders>
            <w:shd w:val="clear" w:color="auto" w:fill="FFFFFF"/>
            <w:hideMark/>
          </w:tcPr>
          <w:p w:rsidR="00562A90" w:rsidRPr="00612923" w:rsidRDefault="00562A90" w:rsidP="0085403D">
            <w:pPr>
              <w:pStyle w:val="TableText"/>
              <w:keepNext/>
              <w:rPr>
                <w:szCs w:val="18"/>
              </w:rPr>
            </w:pPr>
            <w:r w:rsidRPr="00612923">
              <w:rPr>
                <w:szCs w:val="18"/>
              </w:rPr>
              <w:t>Estimated constant</w:t>
            </w:r>
          </w:p>
        </w:tc>
      </w:tr>
      <w:tr w:rsidR="00562A90" w:rsidRPr="00612923" w:rsidTr="0085403D">
        <w:trPr>
          <w:trHeight w:val="276"/>
          <w:jc w:val="center"/>
        </w:trPr>
        <w:tc>
          <w:tcPr>
            <w:tcW w:w="668" w:type="pct"/>
            <w:tcBorders>
              <w:top w:val="single" w:sz="4" w:space="0" w:color="auto"/>
              <w:left w:val="single" w:sz="4" w:space="0" w:color="auto"/>
              <w:bottom w:val="single" w:sz="4" w:space="0" w:color="auto"/>
              <w:right w:val="single" w:sz="4" w:space="0" w:color="auto"/>
            </w:tcBorders>
            <w:vAlign w:val="center"/>
            <w:hideMark/>
          </w:tcPr>
          <w:p w:rsidR="00562A90" w:rsidRPr="00612923" w:rsidRDefault="00562A90" w:rsidP="0085403D">
            <w:pPr>
              <w:pStyle w:val="TableText"/>
              <w:keepNext/>
              <w:rPr>
                <w:szCs w:val="18"/>
              </w:rPr>
            </w:pPr>
            <m:oMathPara>
              <m:oMathParaPr>
                <m:jc m:val="left"/>
              </m:oMathParaPr>
              <m:oMath>
                <m:r>
                  <w:rPr>
                    <w:rFonts w:ascii="Cambria Math" w:hAnsi="Cambria Math"/>
                    <w:szCs w:val="18"/>
                  </w:rPr>
                  <m:t>b</m:t>
                </m:r>
              </m:oMath>
            </m:oMathPara>
          </w:p>
        </w:tc>
        <w:tc>
          <w:tcPr>
            <w:tcW w:w="4332" w:type="pct"/>
            <w:tcBorders>
              <w:top w:val="single" w:sz="4" w:space="0" w:color="auto"/>
              <w:left w:val="single" w:sz="4" w:space="0" w:color="auto"/>
              <w:bottom w:val="single" w:sz="4" w:space="0" w:color="auto"/>
              <w:right w:val="single" w:sz="4" w:space="0" w:color="auto"/>
            </w:tcBorders>
            <w:hideMark/>
          </w:tcPr>
          <w:p w:rsidR="00562A90" w:rsidRPr="00612923" w:rsidRDefault="00562A90" w:rsidP="0085403D">
            <w:pPr>
              <w:pStyle w:val="TableText"/>
              <w:keepNext/>
              <w:rPr>
                <w:szCs w:val="18"/>
              </w:rPr>
            </w:pPr>
            <w:r w:rsidRPr="00612923">
              <w:rPr>
                <w:szCs w:val="18"/>
              </w:rPr>
              <w:t>Estimated parameter coefficient</w:t>
            </w:r>
          </w:p>
        </w:tc>
      </w:tr>
      <w:tr w:rsidR="00562A90" w:rsidRPr="00612923" w:rsidTr="0085403D">
        <w:trPr>
          <w:trHeight w:val="276"/>
          <w:jc w:val="center"/>
        </w:trPr>
        <w:tc>
          <w:tcPr>
            <w:tcW w:w="668" w:type="pct"/>
            <w:tcBorders>
              <w:top w:val="single" w:sz="4" w:space="0" w:color="auto"/>
              <w:left w:val="single" w:sz="4" w:space="0" w:color="auto"/>
              <w:bottom w:val="single" w:sz="4" w:space="0" w:color="auto"/>
              <w:right w:val="single" w:sz="4" w:space="0" w:color="auto"/>
            </w:tcBorders>
            <w:vAlign w:val="center"/>
            <w:hideMark/>
          </w:tcPr>
          <w:p w:rsidR="00562A90" w:rsidRPr="00612923" w:rsidRDefault="00562A90" w:rsidP="0085403D">
            <w:pPr>
              <w:pStyle w:val="TableText"/>
              <w:keepNext/>
              <w:rPr>
                <w:i/>
              </w:rPr>
            </w:pPr>
            <m:oMathPara>
              <m:oMathParaPr>
                <m:jc m:val="left"/>
              </m:oMathParaPr>
              <m:oMath>
                <m:r>
                  <w:rPr>
                    <w:rFonts w:ascii="Cambria Math" w:hAnsi="Cambria Math"/>
                  </w:rPr>
                  <m:t>mean17</m:t>
                </m:r>
              </m:oMath>
            </m:oMathPara>
          </w:p>
        </w:tc>
        <w:tc>
          <w:tcPr>
            <w:tcW w:w="4332" w:type="pct"/>
            <w:tcBorders>
              <w:top w:val="single" w:sz="4" w:space="0" w:color="auto"/>
              <w:left w:val="single" w:sz="4" w:space="0" w:color="auto"/>
              <w:bottom w:val="single" w:sz="4" w:space="0" w:color="auto"/>
              <w:right w:val="single" w:sz="4" w:space="0" w:color="auto"/>
            </w:tcBorders>
            <w:hideMark/>
          </w:tcPr>
          <w:p w:rsidR="00562A90" w:rsidRPr="00612923" w:rsidRDefault="00562A90" w:rsidP="0085403D">
            <w:pPr>
              <w:pStyle w:val="TableText"/>
              <w:keepNext/>
              <w:rPr>
                <w:szCs w:val="18"/>
              </w:rPr>
            </w:pPr>
            <w:r w:rsidRPr="00612923">
              <w:rPr>
                <w:szCs w:val="18"/>
              </w:rPr>
              <w:t>Average temperature period  midnight to 5 PM</w:t>
            </w:r>
          </w:p>
        </w:tc>
      </w:tr>
      <w:tr w:rsidR="00562A90" w:rsidRPr="00612923" w:rsidTr="0085403D">
        <w:trPr>
          <w:trHeight w:val="278"/>
          <w:jc w:val="center"/>
        </w:trPr>
        <w:tc>
          <w:tcPr>
            <w:tcW w:w="668" w:type="pct"/>
            <w:tcBorders>
              <w:top w:val="single" w:sz="4" w:space="0" w:color="auto"/>
              <w:left w:val="single" w:sz="4" w:space="0" w:color="auto"/>
              <w:bottom w:val="single" w:sz="4" w:space="0" w:color="auto"/>
              <w:right w:val="single" w:sz="4" w:space="0" w:color="auto"/>
            </w:tcBorders>
            <w:vAlign w:val="center"/>
            <w:hideMark/>
          </w:tcPr>
          <w:p w:rsidR="00562A90" w:rsidRPr="00612923" w:rsidRDefault="00562A90" w:rsidP="0085403D">
            <w:pPr>
              <w:pStyle w:val="TableText"/>
              <w:rPr>
                <w:rFonts w:ascii="Calibri" w:hAnsi="Calibri"/>
              </w:rPr>
            </w:pPr>
            <m:oMathPara>
              <m:oMathParaPr>
                <m:jc m:val="left"/>
              </m:oMathParaPr>
              <m:oMath>
                <m:r>
                  <m:rPr>
                    <m:sty m:val="b"/>
                  </m:rPr>
                  <w:rPr>
                    <w:rFonts w:ascii="Cambria Math" w:hAnsi="Cambria Math"/>
                  </w:rPr>
                  <m:t>ε</m:t>
                </m:r>
              </m:oMath>
            </m:oMathPara>
          </w:p>
        </w:tc>
        <w:tc>
          <w:tcPr>
            <w:tcW w:w="4332" w:type="pct"/>
            <w:tcBorders>
              <w:top w:val="single" w:sz="4" w:space="0" w:color="auto"/>
              <w:left w:val="single" w:sz="4" w:space="0" w:color="auto"/>
              <w:bottom w:val="single" w:sz="4" w:space="0" w:color="auto"/>
              <w:right w:val="single" w:sz="4" w:space="0" w:color="auto"/>
            </w:tcBorders>
            <w:hideMark/>
          </w:tcPr>
          <w:p w:rsidR="00562A90" w:rsidRPr="00612923" w:rsidRDefault="00562A90" w:rsidP="0085403D">
            <w:pPr>
              <w:pStyle w:val="TableText"/>
              <w:rPr>
                <w:szCs w:val="18"/>
              </w:rPr>
            </w:pPr>
            <w:r w:rsidRPr="00612923">
              <w:rPr>
                <w:szCs w:val="18"/>
              </w:rPr>
              <w:t>The error term, assumed to be a mean zero and uncorrelated with any of the independent variables</w:t>
            </w:r>
          </w:p>
        </w:tc>
      </w:tr>
    </w:tbl>
    <w:p w:rsidR="00562A90" w:rsidRPr="00612923" w:rsidRDefault="00562A90" w:rsidP="00562A90">
      <w:pPr>
        <w:pStyle w:val="BodyParagraph"/>
        <w:spacing w:before="360"/>
      </w:pPr>
      <w:r w:rsidRPr="00612923">
        <w:t xml:space="preserve">It is quite likely that event impacts depend on variables other than this average of recent temperatures, but with limited event impact estimates for modeling and with virtually no other time-varying characteristics to use for modeling, it is not possible to identify these effects sufficiently accurately to be of use in prediction.  </w:t>
      </w:r>
    </w:p>
    <w:p w:rsidR="00562A90" w:rsidRPr="00612923" w:rsidRDefault="00562A90" w:rsidP="00562A90">
      <w:pPr>
        <w:pStyle w:val="BodyParaAfterTableFigure"/>
      </w:pPr>
      <w:r w:rsidRPr="00612923">
        <w:t xml:space="preserve">Figures 5-1 and 5-2 show the results of the regressions for </w:t>
      </w:r>
      <w:proofErr w:type="spellStart"/>
      <w:r w:rsidRPr="00612923">
        <w:t>SmarRate</w:t>
      </w:r>
      <w:proofErr w:type="spellEnd"/>
      <w:r w:rsidRPr="00612923">
        <w:t xml:space="preserve">-only and dually-enrolled customers by LCA.  The red circles show 2012 ex post values for the representative population and the blue-gray circles show the same for 2011.  The </w:t>
      </w:r>
      <w:proofErr w:type="spellStart"/>
      <w:r w:rsidRPr="00612923">
        <w:t>trendlines</w:t>
      </w:r>
      <w:proofErr w:type="spellEnd"/>
      <w:r w:rsidRPr="00612923">
        <w:t xml:space="preserve"> show the average impacts we use as a basis for ex ante forecasts.  For SmartRate-only customers, each LCA shows a different level of temperature sensitivity.  Also neither 2011 nor 2012 impacts are consistently higher than the other, again suggesting that the program performance has been stable.  For dually-enrolled customers the situation is similar.</w:t>
      </w:r>
    </w:p>
    <w:p w:rsidR="00562A90" w:rsidRPr="00612923" w:rsidRDefault="00562A90" w:rsidP="00562A90">
      <w:pPr>
        <w:pStyle w:val="TableFigureCaption"/>
      </w:pPr>
      <w:r w:rsidRPr="00612923">
        <w:lastRenderedPageBreak/>
        <w:t xml:space="preserve">Figure 5-1:  </w:t>
      </w:r>
      <w:r w:rsidRPr="00612923">
        <w:br/>
        <w:t xml:space="preserve">Ex Post and Ex Ante Impacts versus </w:t>
      </w:r>
      <w:r w:rsidRPr="00612923">
        <w:rPr>
          <w:i/>
        </w:rPr>
        <w:t>Mean17</w:t>
      </w:r>
      <w:r w:rsidRPr="00612923">
        <w:t xml:space="preserve"> by LCA for SmartRate-Only Customers</w:t>
      </w:r>
    </w:p>
    <w:p w:rsidR="00562A90" w:rsidRPr="00612923" w:rsidRDefault="00562A90" w:rsidP="00562A90">
      <w:pPr>
        <w:pStyle w:val="BodyParaAfterTableFigure"/>
        <w:jc w:val="center"/>
        <w:rPr>
          <w:b/>
        </w:rPr>
      </w:pPr>
      <w:r w:rsidRPr="00612923">
        <w:rPr>
          <w:b/>
          <w:noProof/>
        </w:rPr>
        <w:drawing>
          <wp:inline distT="0" distB="0" distL="0" distR="0">
            <wp:extent cx="5705475" cy="3829050"/>
            <wp:effectExtent l="0" t="0" r="0" b="0"/>
            <wp:docPr id="1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299"/>
                    <a:stretch/>
                  </pic:blipFill>
                  <pic:spPr bwMode="auto">
                    <a:xfrm>
                      <a:off x="0" y="0"/>
                      <a:ext cx="5709320" cy="38316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62A90" w:rsidRPr="00612923" w:rsidRDefault="00562A90" w:rsidP="00562A90">
      <w:pPr>
        <w:pStyle w:val="BodyParaAfterTableFigure"/>
      </w:pPr>
    </w:p>
    <w:p w:rsidR="00562A90" w:rsidRPr="00612923" w:rsidRDefault="00562A90" w:rsidP="00562A90">
      <w:pPr>
        <w:pStyle w:val="TableFigureCaption"/>
      </w:pPr>
      <w:r w:rsidRPr="00612923">
        <w:lastRenderedPageBreak/>
        <w:t xml:space="preserve">Figure 5-2:  </w:t>
      </w:r>
      <w:r w:rsidRPr="00612923">
        <w:br/>
        <w:t xml:space="preserve">Ex Post and Ex Ante Impacts versus </w:t>
      </w:r>
      <w:r w:rsidRPr="00612923">
        <w:rPr>
          <w:i/>
        </w:rPr>
        <w:t>Mean17</w:t>
      </w:r>
      <w:r w:rsidRPr="00612923">
        <w:t xml:space="preserve"> by LCA for Dually-Enrolled Customers</w:t>
      </w:r>
    </w:p>
    <w:p w:rsidR="00562A90" w:rsidRPr="00612923" w:rsidRDefault="00562A90" w:rsidP="00562A90">
      <w:pPr>
        <w:pStyle w:val="BodyParagraph"/>
        <w:jc w:val="center"/>
      </w:pPr>
      <w:r w:rsidRPr="00612923">
        <w:rPr>
          <w:noProof/>
          <w:color w:val="1F497D"/>
        </w:rPr>
        <w:drawing>
          <wp:inline distT="0" distB="0" distL="0" distR="0">
            <wp:extent cx="5114925" cy="3743325"/>
            <wp:effectExtent l="0" t="0" r="0" b="0"/>
            <wp:docPr id="13" name="Picture 1" descr="cid:image001.png@01CE10E6.41B69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E10E6.41B693D0"/>
                    <pic:cNvPicPr>
                      <a:picLocks noChangeAspect="1" noChangeArrowheads="1"/>
                    </pic:cNvPicPr>
                  </pic:nvPicPr>
                  <pic:blipFill>
                    <a:blip r:embed="rId38" r:link="rId39" cstate="print"/>
                    <a:srcRect/>
                    <a:stretch>
                      <a:fillRect/>
                    </a:stretch>
                  </pic:blipFill>
                  <pic:spPr bwMode="auto">
                    <a:xfrm>
                      <a:off x="0" y="0"/>
                      <a:ext cx="5114925" cy="3743325"/>
                    </a:xfrm>
                    <a:prstGeom prst="rect">
                      <a:avLst/>
                    </a:prstGeom>
                    <a:noFill/>
                    <a:ln w="9525">
                      <a:noFill/>
                      <a:miter lim="800000"/>
                      <a:headEnd/>
                      <a:tailEnd/>
                    </a:ln>
                  </pic:spPr>
                </pic:pic>
              </a:graphicData>
            </a:graphic>
          </wp:inline>
        </w:drawing>
      </w:r>
    </w:p>
    <w:p w:rsidR="00562A90" w:rsidRPr="00612923" w:rsidRDefault="00562A90" w:rsidP="00562A90">
      <w:pPr>
        <w:pStyle w:val="BodyParaAfterTableFigure"/>
      </w:pPr>
      <w:r w:rsidRPr="00612923">
        <w:t xml:space="preserve">The next step in estimating load impacts was to translate event-level impact estimates to impacts for each hour in the event window.  First, a ratio of each hour’s impacts to the average impact across the entire event window was calculated.  This ratio was calculated using the average ex post impact results for each category of customers.  For example, the ratio for the hour from 3 to 4 PM was calculated by taking the average hourly ex post impact from 3 to 4 PM and dividing it by the average ex post impact for the entire event window.  Table 5-2 gives an example of this process.  The second column of Table 5-2 shows the predicted average event impact across all event hours (i.e. the output from the ex ante regression) using the entire territory on a typical event day on a 1-in-2 weather year as an example.  To illustrate, the third column shows the ratio of hourly impact to average whole-event impacts.  To calculate the average hourly impact, the average predicted impact was simply multiplied by the category-specific ratio.  </w:t>
      </w:r>
    </w:p>
    <w:p w:rsidR="00562A90" w:rsidRPr="00612923" w:rsidRDefault="00562A90" w:rsidP="00562A90">
      <w:pPr>
        <w:pStyle w:val="TableFigureCaption"/>
        <w:spacing w:after="0"/>
      </w:pPr>
    </w:p>
    <w:p w:rsidR="00562A90" w:rsidRPr="00612923" w:rsidRDefault="00562A90" w:rsidP="00562A90">
      <w:pPr>
        <w:pStyle w:val="TableFigureCaption"/>
        <w:spacing w:after="0"/>
      </w:pPr>
    </w:p>
    <w:p w:rsidR="00562A90" w:rsidRPr="00612923" w:rsidRDefault="00562A90" w:rsidP="00562A90">
      <w:pPr>
        <w:pStyle w:val="TableFigureCaption"/>
        <w:spacing w:after="0"/>
      </w:pPr>
      <w:r w:rsidRPr="00612923">
        <w:t xml:space="preserve">Table 5-2:  </w:t>
      </w:r>
      <w:r w:rsidRPr="00612923">
        <w:br/>
        <w:t>Example of Converting Average Impact to Hourly Impact from 2–7 PM</w:t>
      </w:r>
    </w:p>
    <w:p w:rsidR="00562A90" w:rsidRPr="00612923" w:rsidRDefault="00562A90" w:rsidP="00562A90">
      <w:pPr>
        <w:pStyle w:val="TableFigureCaption"/>
      </w:pPr>
      <w:r w:rsidRPr="00612923">
        <w:t>Territory Wide, 1-in-2 Typical Event Day</w:t>
      </w:r>
    </w:p>
    <w:tbl>
      <w:tblPr>
        <w:tblW w:w="7355" w:type="dxa"/>
        <w:jc w:val="center"/>
        <w:tblInd w:w="93" w:type="dxa"/>
        <w:tblLook w:val="04A0"/>
      </w:tblPr>
      <w:tblGrid>
        <w:gridCol w:w="1560"/>
        <w:gridCol w:w="1335"/>
        <w:gridCol w:w="1660"/>
        <w:gridCol w:w="1460"/>
        <w:gridCol w:w="1340"/>
      </w:tblGrid>
      <w:tr w:rsidR="00562A90" w:rsidRPr="00612923" w:rsidTr="0085403D">
        <w:trPr>
          <w:trHeight w:val="780"/>
          <w:jc w:val="center"/>
        </w:trPr>
        <w:tc>
          <w:tcPr>
            <w:tcW w:w="1560" w:type="dxa"/>
            <w:tcBorders>
              <w:top w:val="single" w:sz="8" w:space="0" w:color="auto"/>
              <w:left w:val="single" w:sz="8" w:space="0" w:color="auto"/>
              <w:bottom w:val="single" w:sz="8" w:space="0" w:color="auto"/>
              <w:right w:val="single" w:sz="8" w:space="0" w:color="FFFFFF"/>
            </w:tcBorders>
            <w:shd w:val="clear" w:color="000000" w:fill="1F497D"/>
            <w:vAlign w:val="center"/>
            <w:hideMark/>
          </w:tcPr>
          <w:p w:rsidR="00562A90" w:rsidRPr="00612923" w:rsidRDefault="00562A90" w:rsidP="00254844">
            <w:pPr>
              <w:keepNext/>
              <w:spacing w:after="0" w:line="240" w:lineRule="auto"/>
              <w:jc w:val="center"/>
              <w:rPr>
                <w:rFonts w:ascii="Arial" w:hAnsi="Arial" w:cs="Arial"/>
                <w:b/>
                <w:bCs/>
                <w:color w:val="FFFFFF"/>
                <w:sz w:val="18"/>
                <w:szCs w:val="18"/>
              </w:rPr>
            </w:pPr>
            <w:r w:rsidRPr="00612923">
              <w:rPr>
                <w:rFonts w:ascii="Arial" w:hAnsi="Arial" w:cs="Arial"/>
                <w:b/>
                <w:bCs/>
                <w:color w:val="FFFFFF"/>
                <w:sz w:val="18"/>
                <w:szCs w:val="18"/>
              </w:rPr>
              <w:t>Group</w:t>
            </w:r>
          </w:p>
        </w:tc>
        <w:tc>
          <w:tcPr>
            <w:tcW w:w="1335" w:type="dxa"/>
            <w:tcBorders>
              <w:top w:val="single" w:sz="8" w:space="0" w:color="auto"/>
              <w:left w:val="nil"/>
              <w:bottom w:val="single" w:sz="8" w:space="0" w:color="auto"/>
              <w:right w:val="single" w:sz="8" w:space="0" w:color="FFFFFF"/>
            </w:tcBorders>
            <w:shd w:val="clear" w:color="000000" w:fill="1F497D"/>
            <w:vAlign w:val="center"/>
            <w:hideMark/>
          </w:tcPr>
          <w:p w:rsidR="00562A90" w:rsidRPr="00612923" w:rsidRDefault="00562A90" w:rsidP="00254844">
            <w:pPr>
              <w:keepNext/>
              <w:spacing w:after="0" w:line="240" w:lineRule="auto"/>
              <w:jc w:val="center"/>
              <w:rPr>
                <w:rFonts w:ascii="Arial" w:hAnsi="Arial" w:cs="Arial"/>
                <w:b/>
                <w:bCs/>
                <w:color w:val="FFFFFF"/>
                <w:sz w:val="18"/>
                <w:szCs w:val="18"/>
              </w:rPr>
            </w:pPr>
            <w:r w:rsidRPr="00612923">
              <w:rPr>
                <w:rFonts w:ascii="Arial" w:hAnsi="Arial" w:cs="Arial"/>
                <w:b/>
                <w:bCs/>
                <w:color w:val="FFFFFF"/>
                <w:sz w:val="18"/>
                <w:szCs w:val="18"/>
              </w:rPr>
              <w:t>Hour</w:t>
            </w:r>
          </w:p>
        </w:tc>
        <w:tc>
          <w:tcPr>
            <w:tcW w:w="1660" w:type="dxa"/>
            <w:tcBorders>
              <w:top w:val="single" w:sz="8" w:space="0" w:color="auto"/>
              <w:left w:val="nil"/>
              <w:bottom w:val="single" w:sz="8" w:space="0" w:color="auto"/>
              <w:right w:val="single" w:sz="8" w:space="0" w:color="FFFFFF"/>
            </w:tcBorders>
            <w:shd w:val="clear" w:color="000000" w:fill="1F497D"/>
            <w:vAlign w:val="center"/>
            <w:hideMark/>
          </w:tcPr>
          <w:p w:rsidR="00562A90" w:rsidRPr="00612923" w:rsidRDefault="00562A90" w:rsidP="00254844">
            <w:pPr>
              <w:keepNext/>
              <w:spacing w:after="0" w:line="240" w:lineRule="auto"/>
              <w:jc w:val="center"/>
              <w:rPr>
                <w:rFonts w:ascii="Arial" w:hAnsi="Arial" w:cs="Arial"/>
                <w:b/>
                <w:bCs/>
                <w:color w:val="FFFFFF"/>
                <w:sz w:val="18"/>
                <w:szCs w:val="18"/>
              </w:rPr>
            </w:pPr>
            <w:r w:rsidRPr="00612923">
              <w:rPr>
                <w:rFonts w:ascii="Arial" w:hAnsi="Arial" w:cs="Arial"/>
                <w:b/>
                <w:bCs/>
                <w:color w:val="FFFFFF"/>
                <w:sz w:val="18"/>
                <w:szCs w:val="18"/>
              </w:rPr>
              <w:t>Predicted Average Impact (kW)*</w:t>
            </w:r>
          </w:p>
        </w:tc>
        <w:tc>
          <w:tcPr>
            <w:tcW w:w="1460" w:type="dxa"/>
            <w:tcBorders>
              <w:top w:val="single" w:sz="8" w:space="0" w:color="auto"/>
              <w:left w:val="nil"/>
              <w:bottom w:val="single" w:sz="8" w:space="0" w:color="auto"/>
              <w:right w:val="single" w:sz="8" w:space="0" w:color="FFFFFF"/>
            </w:tcBorders>
            <w:shd w:val="clear" w:color="000000" w:fill="1F497D"/>
            <w:vAlign w:val="center"/>
            <w:hideMark/>
          </w:tcPr>
          <w:p w:rsidR="00562A90" w:rsidRPr="00612923" w:rsidRDefault="00562A90" w:rsidP="00254844">
            <w:pPr>
              <w:keepNext/>
              <w:spacing w:after="0" w:line="240" w:lineRule="auto"/>
              <w:jc w:val="center"/>
              <w:rPr>
                <w:rFonts w:ascii="Arial" w:hAnsi="Arial" w:cs="Arial"/>
                <w:b/>
                <w:bCs/>
                <w:color w:val="FFFFFF"/>
                <w:sz w:val="18"/>
                <w:szCs w:val="18"/>
              </w:rPr>
            </w:pPr>
            <w:r w:rsidRPr="00612923">
              <w:rPr>
                <w:rFonts w:ascii="Arial" w:hAnsi="Arial" w:cs="Arial"/>
                <w:b/>
                <w:bCs/>
                <w:color w:val="FFFFFF"/>
                <w:sz w:val="18"/>
                <w:szCs w:val="18"/>
              </w:rPr>
              <w:t>Ratio (based on ex post impacts)</w:t>
            </w:r>
          </w:p>
        </w:tc>
        <w:tc>
          <w:tcPr>
            <w:tcW w:w="1340" w:type="dxa"/>
            <w:tcBorders>
              <w:top w:val="single" w:sz="8" w:space="0" w:color="auto"/>
              <w:left w:val="nil"/>
              <w:bottom w:val="single" w:sz="8" w:space="0" w:color="auto"/>
              <w:right w:val="single" w:sz="8" w:space="0" w:color="auto"/>
            </w:tcBorders>
            <w:shd w:val="clear" w:color="000000" w:fill="1F497D"/>
            <w:vAlign w:val="center"/>
            <w:hideMark/>
          </w:tcPr>
          <w:p w:rsidR="00562A90" w:rsidRPr="00612923" w:rsidRDefault="00562A90" w:rsidP="00254844">
            <w:pPr>
              <w:keepNext/>
              <w:spacing w:after="0" w:line="240" w:lineRule="auto"/>
              <w:jc w:val="center"/>
              <w:rPr>
                <w:rFonts w:ascii="Arial" w:hAnsi="Arial" w:cs="Arial"/>
                <w:b/>
                <w:bCs/>
                <w:color w:val="FFFFFF"/>
                <w:sz w:val="18"/>
                <w:szCs w:val="18"/>
              </w:rPr>
            </w:pPr>
            <w:r w:rsidRPr="00612923">
              <w:rPr>
                <w:rFonts w:ascii="Arial" w:hAnsi="Arial" w:cs="Arial"/>
                <w:b/>
                <w:bCs/>
                <w:color w:val="FFFFFF"/>
                <w:sz w:val="18"/>
                <w:szCs w:val="18"/>
              </w:rPr>
              <w:t>Predicted Hourly Impact (kW)</w:t>
            </w:r>
          </w:p>
        </w:tc>
      </w:tr>
      <w:tr w:rsidR="00562A90" w:rsidRPr="00612923" w:rsidTr="0085403D">
        <w:trPr>
          <w:trHeight w:val="300"/>
          <w:jc w:val="center"/>
        </w:trPr>
        <w:tc>
          <w:tcPr>
            <w:tcW w:w="1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SMR-Only</w:t>
            </w:r>
          </w:p>
        </w:tc>
        <w:tc>
          <w:tcPr>
            <w:tcW w:w="1335"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2-3 PM</w:t>
            </w:r>
          </w:p>
        </w:tc>
        <w:tc>
          <w:tcPr>
            <w:tcW w:w="16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0.19</w:t>
            </w:r>
          </w:p>
        </w:tc>
        <w:tc>
          <w:tcPr>
            <w:tcW w:w="14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0.69</w:t>
            </w:r>
          </w:p>
        </w:tc>
        <w:tc>
          <w:tcPr>
            <w:tcW w:w="134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0.13</w:t>
            </w:r>
          </w:p>
        </w:tc>
      </w:tr>
      <w:tr w:rsidR="00562A90" w:rsidRPr="00612923" w:rsidTr="0085403D">
        <w:trPr>
          <w:trHeight w:val="300"/>
          <w:jc w:val="center"/>
        </w:trPr>
        <w:tc>
          <w:tcPr>
            <w:tcW w:w="1560" w:type="dxa"/>
            <w:vMerge/>
            <w:tcBorders>
              <w:top w:val="nil"/>
              <w:left w:val="single" w:sz="4" w:space="0" w:color="auto"/>
              <w:bottom w:val="single" w:sz="4" w:space="0" w:color="auto"/>
              <w:right w:val="single" w:sz="4" w:space="0" w:color="auto"/>
            </w:tcBorders>
            <w:vAlign w:val="center"/>
            <w:hideMark/>
          </w:tcPr>
          <w:p w:rsidR="00562A90" w:rsidRPr="00612923" w:rsidRDefault="00562A90" w:rsidP="00254844">
            <w:pPr>
              <w:keepNext/>
              <w:spacing w:after="0" w:line="240" w:lineRule="auto"/>
              <w:rPr>
                <w:rFonts w:ascii="Arial" w:hAnsi="Arial" w:cs="Arial"/>
                <w:color w:val="000000"/>
                <w:sz w:val="18"/>
                <w:szCs w:val="18"/>
              </w:rPr>
            </w:pPr>
          </w:p>
        </w:tc>
        <w:tc>
          <w:tcPr>
            <w:tcW w:w="1335"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3-4 PM</w:t>
            </w:r>
          </w:p>
        </w:tc>
        <w:tc>
          <w:tcPr>
            <w:tcW w:w="16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0.19</w:t>
            </w:r>
          </w:p>
        </w:tc>
        <w:tc>
          <w:tcPr>
            <w:tcW w:w="14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0.95</w:t>
            </w:r>
          </w:p>
        </w:tc>
        <w:tc>
          <w:tcPr>
            <w:tcW w:w="134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0.19</w:t>
            </w:r>
          </w:p>
        </w:tc>
      </w:tr>
      <w:tr w:rsidR="00562A90" w:rsidRPr="00612923" w:rsidTr="0085403D">
        <w:trPr>
          <w:trHeight w:val="300"/>
          <w:jc w:val="center"/>
        </w:trPr>
        <w:tc>
          <w:tcPr>
            <w:tcW w:w="1560" w:type="dxa"/>
            <w:vMerge/>
            <w:tcBorders>
              <w:top w:val="nil"/>
              <w:left w:val="single" w:sz="4" w:space="0" w:color="auto"/>
              <w:bottom w:val="single" w:sz="4" w:space="0" w:color="auto"/>
              <w:right w:val="single" w:sz="4" w:space="0" w:color="auto"/>
            </w:tcBorders>
            <w:vAlign w:val="center"/>
            <w:hideMark/>
          </w:tcPr>
          <w:p w:rsidR="00562A90" w:rsidRPr="00612923" w:rsidRDefault="00562A90" w:rsidP="00254844">
            <w:pPr>
              <w:keepNext/>
              <w:spacing w:after="0" w:line="240" w:lineRule="auto"/>
              <w:rPr>
                <w:rFonts w:ascii="Arial" w:hAnsi="Arial" w:cs="Arial"/>
                <w:color w:val="000000"/>
                <w:sz w:val="18"/>
                <w:szCs w:val="18"/>
              </w:rPr>
            </w:pPr>
          </w:p>
        </w:tc>
        <w:tc>
          <w:tcPr>
            <w:tcW w:w="1335"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4-5 PM</w:t>
            </w:r>
          </w:p>
        </w:tc>
        <w:tc>
          <w:tcPr>
            <w:tcW w:w="16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0.19</w:t>
            </w:r>
          </w:p>
        </w:tc>
        <w:tc>
          <w:tcPr>
            <w:tcW w:w="14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1.11</w:t>
            </w:r>
          </w:p>
        </w:tc>
        <w:tc>
          <w:tcPr>
            <w:tcW w:w="134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0.22</w:t>
            </w:r>
          </w:p>
        </w:tc>
      </w:tr>
      <w:tr w:rsidR="00562A90" w:rsidRPr="00612923" w:rsidTr="0085403D">
        <w:trPr>
          <w:trHeight w:val="300"/>
          <w:jc w:val="center"/>
        </w:trPr>
        <w:tc>
          <w:tcPr>
            <w:tcW w:w="1560" w:type="dxa"/>
            <w:vMerge/>
            <w:tcBorders>
              <w:top w:val="nil"/>
              <w:left w:val="single" w:sz="4" w:space="0" w:color="auto"/>
              <w:bottom w:val="single" w:sz="4" w:space="0" w:color="auto"/>
              <w:right w:val="single" w:sz="4" w:space="0" w:color="auto"/>
            </w:tcBorders>
            <w:vAlign w:val="center"/>
            <w:hideMark/>
          </w:tcPr>
          <w:p w:rsidR="00562A90" w:rsidRPr="00612923" w:rsidRDefault="00562A90" w:rsidP="00254844">
            <w:pPr>
              <w:keepNext/>
              <w:spacing w:after="0" w:line="240" w:lineRule="auto"/>
              <w:rPr>
                <w:rFonts w:ascii="Arial" w:hAnsi="Arial" w:cs="Arial"/>
                <w:color w:val="000000"/>
                <w:sz w:val="18"/>
                <w:szCs w:val="18"/>
              </w:rPr>
            </w:pPr>
          </w:p>
        </w:tc>
        <w:tc>
          <w:tcPr>
            <w:tcW w:w="1335"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5-6 PM</w:t>
            </w:r>
          </w:p>
        </w:tc>
        <w:tc>
          <w:tcPr>
            <w:tcW w:w="16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0.19</w:t>
            </w:r>
          </w:p>
        </w:tc>
        <w:tc>
          <w:tcPr>
            <w:tcW w:w="14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1.17</w:t>
            </w:r>
          </w:p>
        </w:tc>
        <w:tc>
          <w:tcPr>
            <w:tcW w:w="134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0.23</w:t>
            </w:r>
          </w:p>
        </w:tc>
      </w:tr>
      <w:tr w:rsidR="00562A90" w:rsidRPr="00612923" w:rsidTr="0085403D">
        <w:trPr>
          <w:trHeight w:val="300"/>
          <w:jc w:val="center"/>
        </w:trPr>
        <w:tc>
          <w:tcPr>
            <w:tcW w:w="1560" w:type="dxa"/>
            <w:vMerge/>
            <w:tcBorders>
              <w:top w:val="nil"/>
              <w:left w:val="single" w:sz="4" w:space="0" w:color="auto"/>
              <w:bottom w:val="single" w:sz="4" w:space="0" w:color="auto"/>
              <w:right w:val="single" w:sz="4" w:space="0" w:color="auto"/>
            </w:tcBorders>
            <w:vAlign w:val="center"/>
            <w:hideMark/>
          </w:tcPr>
          <w:p w:rsidR="00562A90" w:rsidRPr="00612923" w:rsidRDefault="00562A90" w:rsidP="00254844">
            <w:pPr>
              <w:keepNext/>
              <w:spacing w:after="0" w:line="240" w:lineRule="auto"/>
              <w:rPr>
                <w:rFonts w:ascii="Arial" w:hAnsi="Arial" w:cs="Arial"/>
                <w:color w:val="000000"/>
                <w:sz w:val="18"/>
                <w:szCs w:val="18"/>
              </w:rPr>
            </w:pPr>
          </w:p>
        </w:tc>
        <w:tc>
          <w:tcPr>
            <w:tcW w:w="1335"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6-7 PM</w:t>
            </w:r>
          </w:p>
        </w:tc>
        <w:tc>
          <w:tcPr>
            <w:tcW w:w="16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0.19</w:t>
            </w:r>
          </w:p>
        </w:tc>
        <w:tc>
          <w:tcPr>
            <w:tcW w:w="14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1.08</w:t>
            </w:r>
          </w:p>
        </w:tc>
        <w:tc>
          <w:tcPr>
            <w:tcW w:w="134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0.21</w:t>
            </w:r>
          </w:p>
        </w:tc>
      </w:tr>
      <w:tr w:rsidR="00562A90" w:rsidRPr="00612923" w:rsidTr="0085403D">
        <w:trPr>
          <w:trHeight w:val="300"/>
          <w:jc w:val="center"/>
        </w:trPr>
        <w:tc>
          <w:tcPr>
            <w:tcW w:w="15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Dually Enrolled</w:t>
            </w:r>
          </w:p>
        </w:tc>
        <w:tc>
          <w:tcPr>
            <w:tcW w:w="1335"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2-3 PM</w:t>
            </w:r>
          </w:p>
        </w:tc>
        <w:tc>
          <w:tcPr>
            <w:tcW w:w="16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0.46</w:t>
            </w:r>
          </w:p>
        </w:tc>
        <w:tc>
          <w:tcPr>
            <w:tcW w:w="14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0.64</w:t>
            </w:r>
          </w:p>
        </w:tc>
        <w:tc>
          <w:tcPr>
            <w:tcW w:w="134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0.29</w:t>
            </w:r>
          </w:p>
        </w:tc>
      </w:tr>
      <w:tr w:rsidR="00562A90" w:rsidRPr="00612923" w:rsidTr="0085403D">
        <w:trPr>
          <w:trHeight w:val="300"/>
          <w:jc w:val="center"/>
        </w:trPr>
        <w:tc>
          <w:tcPr>
            <w:tcW w:w="1560" w:type="dxa"/>
            <w:vMerge/>
            <w:tcBorders>
              <w:top w:val="nil"/>
              <w:left w:val="single" w:sz="4" w:space="0" w:color="auto"/>
              <w:bottom w:val="single" w:sz="4" w:space="0" w:color="auto"/>
              <w:right w:val="single" w:sz="4" w:space="0" w:color="auto"/>
            </w:tcBorders>
            <w:vAlign w:val="center"/>
            <w:hideMark/>
          </w:tcPr>
          <w:p w:rsidR="00562A90" w:rsidRPr="00612923" w:rsidRDefault="00562A90" w:rsidP="00254844">
            <w:pPr>
              <w:keepNext/>
              <w:spacing w:after="0" w:line="240" w:lineRule="auto"/>
              <w:rPr>
                <w:rFonts w:ascii="Arial" w:hAnsi="Arial" w:cs="Arial"/>
                <w:color w:val="000000"/>
                <w:sz w:val="18"/>
                <w:szCs w:val="18"/>
              </w:rPr>
            </w:pPr>
          </w:p>
        </w:tc>
        <w:tc>
          <w:tcPr>
            <w:tcW w:w="1335"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3-4 PM</w:t>
            </w:r>
          </w:p>
        </w:tc>
        <w:tc>
          <w:tcPr>
            <w:tcW w:w="16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0.46</w:t>
            </w:r>
          </w:p>
        </w:tc>
        <w:tc>
          <w:tcPr>
            <w:tcW w:w="14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0.89</w:t>
            </w:r>
          </w:p>
        </w:tc>
        <w:tc>
          <w:tcPr>
            <w:tcW w:w="134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0.41</w:t>
            </w:r>
          </w:p>
        </w:tc>
      </w:tr>
      <w:tr w:rsidR="00562A90" w:rsidRPr="00612923" w:rsidTr="0085403D">
        <w:trPr>
          <w:trHeight w:val="300"/>
          <w:jc w:val="center"/>
        </w:trPr>
        <w:tc>
          <w:tcPr>
            <w:tcW w:w="1560" w:type="dxa"/>
            <w:vMerge/>
            <w:tcBorders>
              <w:top w:val="nil"/>
              <w:left w:val="single" w:sz="4" w:space="0" w:color="auto"/>
              <w:bottom w:val="single" w:sz="4" w:space="0" w:color="auto"/>
              <w:right w:val="single" w:sz="4" w:space="0" w:color="auto"/>
            </w:tcBorders>
            <w:vAlign w:val="center"/>
            <w:hideMark/>
          </w:tcPr>
          <w:p w:rsidR="00562A90" w:rsidRPr="00612923" w:rsidRDefault="00562A90" w:rsidP="00254844">
            <w:pPr>
              <w:keepNext/>
              <w:spacing w:after="0" w:line="240" w:lineRule="auto"/>
              <w:rPr>
                <w:rFonts w:ascii="Arial" w:hAnsi="Arial" w:cs="Arial"/>
                <w:color w:val="000000"/>
                <w:sz w:val="18"/>
                <w:szCs w:val="18"/>
              </w:rPr>
            </w:pPr>
          </w:p>
        </w:tc>
        <w:tc>
          <w:tcPr>
            <w:tcW w:w="1335"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4-5 PM</w:t>
            </w:r>
          </w:p>
        </w:tc>
        <w:tc>
          <w:tcPr>
            <w:tcW w:w="16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0.46</w:t>
            </w:r>
          </w:p>
        </w:tc>
        <w:tc>
          <w:tcPr>
            <w:tcW w:w="14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1.10</w:t>
            </w:r>
          </w:p>
        </w:tc>
        <w:tc>
          <w:tcPr>
            <w:tcW w:w="134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0.50</w:t>
            </w:r>
          </w:p>
        </w:tc>
      </w:tr>
      <w:tr w:rsidR="00562A90" w:rsidRPr="00612923" w:rsidTr="0085403D">
        <w:trPr>
          <w:trHeight w:val="300"/>
          <w:jc w:val="center"/>
        </w:trPr>
        <w:tc>
          <w:tcPr>
            <w:tcW w:w="1560" w:type="dxa"/>
            <w:vMerge/>
            <w:tcBorders>
              <w:top w:val="nil"/>
              <w:left w:val="single" w:sz="4" w:space="0" w:color="auto"/>
              <w:bottom w:val="single" w:sz="4" w:space="0" w:color="auto"/>
              <w:right w:val="single" w:sz="4" w:space="0" w:color="auto"/>
            </w:tcBorders>
            <w:vAlign w:val="center"/>
            <w:hideMark/>
          </w:tcPr>
          <w:p w:rsidR="00562A90" w:rsidRPr="00612923" w:rsidRDefault="00562A90" w:rsidP="00254844">
            <w:pPr>
              <w:keepNext/>
              <w:spacing w:after="0" w:line="240" w:lineRule="auto"/>
              <w:rPr>
                <w:rFonts w:ascii="Arial" w:hAnsi="Arial" w:cs="Arial"/>
                <w:color w:val="000000"/>
                <w:sz w:val="18"/>
                <w:szCs w:val="18"/>
              </w:rPr>
            </w:pPr>
          </w:p>
        </w:tc>
        <w:tc>
          <w:tcPr>
            <w:tcW w:w="1335"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5-6 PM</w:t>
            </w:r>
          </w:p>
        </w:tc>
        <w:tc>
          <w:tcPr>
            <w:tcW w:w="16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0.46</w:t>
            </w:r>
          </w:p>
        </w:tc>
        <w:tc>
          <w:tcPr>
            <w:tcW w:w="14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1.23</w:t>
            </w:r>
          </w:p>
        </w:tc>
        <w:tc>
          <w:tcPr>
            <w:tcW w:w="134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254844">
            <w:pPr>
              <w:keepNext/>
              <w:spacing w:after="0" w:line="240" w:lineRule="auto"/>
              <w:jc w:val="center"/>
              <w:rPr>
                <w:rFonts w:ascii="Arial" w:hAnsi="Arial" w:cs="Arial"/>
                <w:color w:val="000000"/>
                <w:sz w:val="18"/>
                <w:szCs w:val="18"/>
              </w:rPr>
            </w:pPr>
            <w:r w:rsidRPr="00612923">
              <w:rPr>
                <w:rFonts w:ascii="Arial" w:hAnsi="Arial" w:cs="Arial"/>
                <w:color w:val="000000"/>
                <w:sz w:val="18"/>
                <w:szCs w:val="18"/>
              </w:rPr>
              <w:t>0.56</w:t>
            </w:r>
          </w:p>
        </w:tc>
      </w:tr>
      <w:tr w:rsidR="00562A90" w:rsidRPr="00612923" w:rsidTr="0085403D">
        <w:trPr>
          <w:trHeight w:val="315"/>
          <w:jc w:val="center"/>
        </w:trPr>
        <w:tc>
          <w:tcPr>
            <w:tcW w:w="1560" w:type="dxa"/>
            <w:vMerge/>
            <w:tcBorders>
              <w:top w:val="nil"/>
              <w:left w:val="single" w:sz="4" w:space="0" w:color="auto"/>
              <w:bottom w:val="single" w:sz="4" w:space="0" w:color="auto"/>
              <w:right w:val="single" w:sz="4" w:space="0" w:color="auto"/>
            </w:tcBorders>
            <w:vAlign w:val="center"/>
            <w:hideMark/>
          </w:tcPr>
          <w:p w:rsidR="00562A90" w:rsidRPr="00612923" w:rsidRDefault="00562A90" w:rsidP="0085403D">
            <w:pPr>
              <w:spacing w:after="0" w:line="240" w:lineRule="auto"/>
              <w:rPr>
                <w:rFonts w:ascii="Arial" w:hAnsi="Arial" w:cs="Arial"/>
                <w:color w:val="000000"/>
                <w:sz w:val="18"/>
                <w:szCs w:val="18"/>
              </w:rPr>
            </w:pPr>
          </w:p>
        </w:tc>
        <w:tc>
          <w:tcPr>
            <w:tcW w:w="1335"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85403D">
            <w:pPr>
              <w:spacing w:after="0" w:line="240" w:lineRule="auto"/>
              <w:jc w:val="center"/>
              <w:rPr>
                <w:rFonts w:ascii="Arial" w:hAnsi="Arial" w:cs="Arial"/>
                <w:color w:val="000000"/>
                <w:sz w:val="18"/>
                <w:szCs w:val="18"/>
              </w:rPr>
            </w:pPr>
            <w:r w:rsidRPr="00612923">
              <w:rPr>
                <w:rFonts w:ascii="Arial" w:hAnsi="Arial" w:cs="Arial"/>
                <w:color w:val="000000"/>
                <w:sz w:val="18"/>
                <w:szCs w:val="18"/>
              </w:rPr>
              <w:t>6-7 PM</w:t>
            </w:r>
          </w:p>
        </w:tc>
        <w:tc>
          <w:tcPr>
            <w:tcW w:w="16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85403D">
            <w:pPr>
              <w:spacing w:after="0" w:line="240" w:lineRule="auto"/>
              <w:jc w:val="center"/>
              <w:rPr>
                <w:rFonts w:ascii="Arial" w:hAnsi="Arial" w:cs="Arial"/>
                <w:color w:val="000000"/>
                <w:sz w:val="18"/>
                <w:szCs w:val="18"/>
              </w:rPr>
            </w:pPr>
            <w:r w:rsidRPr="00612923">
              <w:rPr>
                <w:rFonts w:ascii="Arial" w:hAnsi="Arial" w:cs="Arial"/>
                <w:color w:val="000000"/>
                <w:sz w:val="18"/>
                <w:szCs w:val="18"/>
              </w:rPr>
              <w:t>0.46</w:t>
            </w:r>
          </w:p>
        </w:tc>
        <w:tc>
          <w:tcPr>
            <w:tcW w:w="146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85403D">
            <w:pPr>
              <w:spacing w:after="0" w:line="240" w:lineRule="auto"/>
              <w:jc w:val="center"/>
              <w:rPr>
                <w:rFonts w:ascii="Arial" w:hAnsi="Arial" w:cs="Arial"/>
                <w:color w:val="000000"/>
                <w:sz w:val="18"/>
                <w:szCs w:val="18"/>
              </w:rPr>
            </w:pPr>
            <w:r w:rsidRPr="00612923">
              <w:rPr>
                <w:rFonts w:ascii="Arial" w:hAnsi="Arial" w:cs="Arial"/>
                <w:color w:val="000000"/>
                <w:sz w:val="18"/>
                <w:szCs w:val="18"/>
              </w:rPr>
              <w:t>1.12</w:t>
            </w:r>
          </w:p>
        </w:tc>
        <w:tc>
          <w:tcPr>
            <w:tcW w:w="1340" w:type="dxa"/>
            <w:tcBorders>
              <w:top w:val="nil"/>
              <w:left w:val="nil"/>
              <w:bottom w:val="single" w:sz="4" w:space="0" w:color="auto"/>
              <w:right w:val="single" w:sz="4" w:space="0" w:color="auto"/>
            </w:tcBorders>
            <w:shd w:val="clear" w:color="auto" w:fill="auto"/>
            <w:noWrap/>
            <w:vAlign w:val="center"/>
            <w:hideMark/>
          </w:tcPr>
          <w:p w:rsidR="00562A90" w:rsidRPr="00612923" w:rsidRDefault="00562A90" w:rsidP="0085403D">
            <w:pPr>
              <w:spacing w:after="0" w:line="240" w:lineRule="auto"/>
              <w:jc w:val="center"/>
              <w:rPr>
                <w:rFonts w:ascii="Arial" w:hAnsi="Arial" w:cs="Arial"/>
                <w:color w:val="000000"/>
                <w:sz w:val="18"/>
                <w:szCs w:val="18"/>
              </w:rPr>
            </w:pPr>
            <w:r w:rsidRPr="00612923">
              <w:rPr>
                <w:rFonts w:ascii="Arial" w:hAnsi="Arial" w:cs="Arial"/>
                <w:color w:val="000000"/>
                <w:sz w:val="18"/>
                <w:szCs w:val="18"/>
              </w:rPr>
              <w:t>0.51</w:t>
            </w:r>
          </w:p>
        </w:tc>
      </w:tr>
      <w:tr w:rsidR="00562A90" w:rsidRPr="00612923" w:rsidTr="0085403D">
        <w:trPr>
          <w:trHeight w:val="300"/>
          <w:jc w:val="center"/>
        </w:trPr>
        <w:tc>
          <w:tcPr>
            <w:tcW w:w="1560" w:type="dxa"/>
            <w:tcBorders>
              <w:top w:val="nil"/>
              <w:left w:val="nil"/>
              <w:bottom w:val="nil"/>
              <w:right w:val="nil"/>
            </w:tcBorders>
            <w:shd w:val="clear" w:color="auto" w:fill="auto"/>
            <w:noWrap/>
            <w:vAlign w:val="bottom"/>
            <w:hideMark/>
          </w:tcPr>
          <w:p w:rsidR="00562A90" w:rsidRPr="00612923" w:rsidRDefault="00562A90" w:rsidP="0085403D">
            <w:pPr>
              <w:spacing w:after="0" w:line="240" w:lineRule="auto"/>
              <w:rPr>
                <w:rFonts w:ascii="Arial" w:hAnsi="Arial" w:cs="Arial"/>
                <w:color w:val="000000"/>
                <w:sz w:val="18"/>
                <w:szCs w:val="18"/>
              </w:rPr>
            </w:pPr>
          </w:p>
        </w:tc>
        <w:tc>
          <w:tcPr>
            <w:tcW w:w="5795" w:type="dxa"/>
            <w:gridSpan w:val="4"/>
            <w:tcBorders>
              <w:top w:val="single" w:sz="8" w:space="0" w:color="auto"/>
              <w:left w:val="nil"/>
              <w:bottom w:val="nil"/>
              <w:right w:val="nil"/>
            </w:tcBorders>
            <w:shd w:val="clear" w:color="auto" w:fill="auto"/>
            <w:noWrap/>
            <w:vAlign w:val="center"/>
            <w:hideMark/>
          </w:tcPr>
          <w:p w:rsidR="00562A90" w:rsidRPr="00612923" w:rsidRDefault="00562A90" w:rsidP="0085403D">
            <w:pPr>
              <w:spacing w:after="0" w:line="240" w:lineRule="auto"/>
              <w:rPr>
                <w:rFonts w:ascii="Arial" w:hAnsi="Arial" w:cs="Arial"/>
                <w:color w:val="000000"/>
                <w:sz w:val="18"/>
                <w:szCs w:val="18"/>
              </w:rPr>
            </w:pPr>
            <w:r w:rsidRPr="00612923">
              <w:rPr>
                <w:rFonts w:ascii="Arial" w:hAnsi="Arial" w:cs="Arial"/>
                <w:color w:val="000000"/>
                <w:sz w:val="18"/>
                <w:szCs w:val="18"/>
              </w:rPr>
              <w:t>*output from ex ante model; model predicts one average value for all hours</w:t>
            </w:r>
          </w:p>
        </w:tc>
      </w:tr>
    </w:tbl>
    <w:p w:rsidR="00562A90" w:rsidRPr="00612923" w:rsidRDefault="00562A90" w:rsidP="00562A90">
      <w:pPr>
        <w:pStyle w:val="BodyParaAfterTableFigure"/>
      </w:pPr>
      <w:r w:rsidRPr="00612923">
        <w:t xml:space="preserve">The implication of this strategy is that the ratio between any two hours of predicted event impacts is constant across all ex ante conditions.  While this is an assumption forced on the data, it is roughly accurate.  Moreover, the available data do not allow for accurately modeling the nuanced relative differences in the event impacts for different hours that may occur under different conditions.  The emphasis is on accurately predicting average event impact and average impact for each hour, without additionally trying to estimate whether, for example, impacts at 2 PM tend to be relatively greater than impacts at 3 PM on hot days compared to cooler days. </w:t>
      </w:r>
    </w:p>
    <w:p w:rsidR="00562A90" w:rsidRPr="00612923" w:rsidRDefault="00562A90" w:rsidP="00562A90">
      <w:pPr>
        <w:pStyle w:val="BodyParagraph"/>
      </w:pPr>
      <w:r w:rsidRPr="00612923">
        <w:t>Impacts for the overall population were calculated by taking a weighted average of the results from each LCA.</w:t>
      </w:r>
    </w:p>
    <w:p w:rsidR="00562A90" w:rsidRPr="00612923" w:rsidRDefault="00562A90" w:rsidP="00562A90">
      <w:pPr>
        <w:pStyle w:val="Heading2"/>
        <w:ind w:left="540" w:hanging="540"/>
      </w:pPr>
      <w:bookmarkStart w:id="68" w:name="_Toc352567312"/>
      <w:r w:rsidRPr="00612923">
        <w:t>Adjusting Event Hours</w:t>
      </w:r>
      <w:bookmarkEnd w:id="68"/>
    </w:p>
    <w:p w:rsidR="00562A90" w:rsidRPr="00612923" w:rsidRDefault="00562A90" w:rsidP="00562A90">
      <w:pPr>
        <w:pStyle w:val="BodyParagraph"/>
      </w:pPr>
      <w:r w:rsidRPr="00612923">
        <w:t>All SmartRate events in 2012 were called from 2 to 7 PM.  For 2014 and beyond,</w:t>
      </w:r>
      <w:r w:rsidRPr="00612923" w:rsidDel="002E06DD">
        <w:t xml:space="preserve"> </w:t>
      </w:r>
      <w:r w:rsidRPr="00612923">
        <w:t xml:space="preserve">events </w:t>
      </w:r>
      <w:r w:rsidR="00911840">
        <w:t xml:space="preserve">are expected </w:t>
      </w:r>
      <w:r w:rsidRPr="00612923">
        <w:t>be called from 1 to 6 PM, to match the resource adequacy window.</w:t>
      </w:r>
      <w:r w:rsidRPr="00612923">
        <w:rPr>
          <w:rStyle w:val="FootnoteReference"/>
        </w:rPr>
        <w:footnoteReference w:id="28"/>
      </w:r>
      <w:r w:rsidRPr="00612923">
        <w:t xml:space="preserve">  In order to incorporate these changes into the ex ante results, event impacts had to be adjusted.  For 2013, impacts are estimated for 1-6 PM as well, for the sake of consistency.  </w:t>
      </w:r>
    </w:p>
    <w:p w:rsidR="00562A90" w:rsidRPr="00612923" w:rsidRDefault="00562A90" w:rsidP="00562A90">
      <w:pPr>
        <w:pStyle w:val="BodyParagraph"/>
      </w:pPr>
      <w:r w:rsidRPr="00612923">
        <w:t xml:space="preserve">Of the five-hour event, four of the hours will stay the same; events in 2011 and in future years cover the hours from 2 to 6 PM.  For those hours, the event impact estimates were not changed.  However, from 1 to 2 PM, the model described so far provides no event impact estimates.  In order to fill that gap, the percentage impact estimated for the hour from 2 to 3 PM was applied to the reference load </w:t>
      </w:r>
      <w:r w:rsidRPr="00612923">
        <w:lastRenderedPageBreak/>
        <w:t>from 1 to 2 PM.  This means the percentage impact for hours 1 to 2 PM is always the same as the percent impact for hours 2 to 3 PM in the ex ante results.  The level of inaccuracy for the overall average predicted impact due to this assumption is likely to be quite small.</w:t>
      </w:r>
    </w:p>
    <w:p w:rsidR="00562A90" w:rsidRPr="00612923" w:rsidRDefault="00562A90" w:rsidP="00562A90">
      <w:pPr>
        <w:pStyle w:val="Heading2"/>
        <w:ind w:left="540" w:hanging="540"/>
      </w:pPr>
      <w:bookmarkStart w:id="69" w:name="_Toc352567313"/>
      <w:r w:rsidRPr="00612923">
        <w:t>SmartRate Ex Ante Load Impact Results</w:t>
      </w:r>
      <w:bookmarkEnd w:id="69"/>
    </w:p>
    <w:p w:rsidR="00562A90" w:rsidRPr="00612923" w:rsidRDefault="00562A90" w:rsidP="00562A90">
      <w:pPr>
        <w:pStyle w:val="BodyParagraph"/>
      </w:pPr>
      <w:r w:rsidRPr="00612923">
        <w:t xml:space="preserve">The SmartRate program is intended to alleviate system stress during times of very high demand.  The primary purpose of this evaluation is to predict load impacts during such conditions.  These ex ante predictions cover a pre-chosen set of temperature profiles meant to mimic what could be expected for monthly system peak days that might occur every other year and every tenth year.  Aggregate estimates of load impacts combine estimates of per customer load impacts developed in this report with </w:t>
      </w:r>
      <w:r w:rsidR="00562606">
        <w:t>a forecast</w:t>
      </w:r>
      <w:r w:rsidRPr="00612923">
        <w:t xml:space="preserve"> of program enrollment, developed in a separate effort by PG&amp;E.</w:t>
      </w:r>
    </w:p>
    <w:p w:rsidR="00562A90" w:rsidRPr="00612923" w:rsidRDefault="00562A90" w:rsidP="00562A90">
      <w:pPr>
        <w:pStyle w:val="BodyParagraph"/>
      </w:pPr>
      <w:r w:rsidRPr="00612923">
        <w:t xml:space="preserve">Enrollment projections by local capacity area as of August of each year are presented in Table 5-3.  The source for these projections is PG&amp;E’s enrollment projections for 2013-2023.  Enrollment is projected to increase slightly over the next two years, and then remain constant.  The current fraction of dually-enrolled customers is not expected to change significantly, nor is the distribution of customers across LCAs.  </w:t>
      </w:r>
    </w:p>
    <w:p w:rsidR="00562A90" w:rsidRDefault="00562A90" w:rsidP="00562A90">
      <w:pPr>
        <w:pStyle w:val="TableFigureCaption"/>
      </w:pPr>
      <w:r w:rsidRPr="00612923">
        <w:t xml:space="preserve">Table 5-3:  </w:t>
      </w:r>
      <w:r w:rsidRPr="00612923">
        <w:br/>
        <w:t>Projected Enrollment for August of Each Year</w:t>
      </w:r>
      <w:r w:rsidR="00C81EFB">
        <w:t xml:space="preserve"> (in Thousands)</w:t>
      </w:r>
    </w:p>
    <w:tbl>
      <w:tblPr>
        <w:tblW w:w="5580" w:type="dxa"/>
        <w:jc w:val="center"/>
        <w:tblInd w:w="93" w:type="dxa"/>
        <w:tblLook w:val="04A0"/>
      </w:tblPr>
      <w:tblGrid>
        <w:gridCol w:w="1215"/>
        <w:gridCol w:w="1215"/>
        <w:gridCol w:w="1246"/>
        <w:gridCol w:w="951"/>
        <w:gridCol w:w="953"/>
      </w:tblGrid>
      <w:tr w:rsidR="005972F6" w:rsidRPr="005972F6" w:rsidTr="001C4D58">
        <w:trPr>
          <w:trHeight w:val="495"/>
          <w:jc w:val="center"/>
        </w:trPr>
        <w:tc>
          <w:tcPr>
            <w:tcW w:w="1215" w:type="dxa"/>
            <w:vMerge w:val="restart"/>
            <w:tcBorders>
              <w:top w:val="single" w:sz="8" w:space="0" w:color="auto"/>
              <w:left w:val="single" w:sz="8" w:space="0" w:color="auto"/>
              <w:bottom w:val="single" w:sz="8" w:space="0" w:color="000000"/>
              <w:right w:val="single" w:sz="8" w:space="0" w:color="FFFFFF"/>
            </w:tcBorders>
            <w:shd w:val="clear" w:color="000000" w:fill="1F497D"/>
            <w:vAlign w:val="center"/>
            <w:hideMark/>
          </w:tcPr>
          <w:p w:rsidR="005972F6" w:rsidRPr="005972F6" w:rsidRDefault="005972F6" w:rsidP="00254844">
            <w:pPr>
              <w:keepNext/>
              <w:spacing w:after="0" w:line="240" w:lineRule="auto"/>
              <w:jc w:val="center"/>
              <w:rPr>
                <w:rFonts w:ascii="Arial" w:eastAsia="Times New Roman" w:hAnsi="Arial" w:cs="Arial"/>
                <w:b/>
                <w:bCs/>
                <w:color w:val="FFFFFF"/>
                <w:sz w:val="20"/>
                <w:szCs w:val="20"/>
              </w:rPr>
            </w:pPr>
            <w:r w:rsidRPr="005972F6">
              <w:rPr>
                <w:rFonts w:ascii="Arial" w:eastAsia="Times New Roman" w:hAnsi="Arial" w:cs="Arial"/>
                <w:b/>
                <w:bCs/>
                <w:color w:val="FFFFFF"/>
                <w:sz w:val="20"/>
                <w:szCs w:val="20"/>
              </w:rPr>
              <w:t>LCA</w:t>
            </w:r>
          </w:p>
        </w:tc>
        <w:tc>
          <w:tcPr>
            <w:tcW w:w="2461" w:type="dxa"/>
            <w:gridSpan w:val="2"/>
            <w:tcBorders>
              <w:top w:val="single" w:sz="8" w:space="0" w:color="auto"/>
              <w:left w:val="nil"/>
              <w:bottom w:val="single" w:sz="8" w:space="0" w:color="FFFFFF"/>
              <w:right w:val="single" w:sz="8" w:space="0" w:color="FFFFFF"/>
            </w:tcBorders>
            <w:shd w:val="clear" w:color="000000" w:fill="1F497D"/>
            <w:vAlign w:val="center"/>
            <w:hideMark/>
          </w:tcPr>
          <w:p w:rsidR="005972F6" w:rsidRPr="005972F6" w:rsidRDefault="005972F6" w:rsidP="00254844">
            <w:pPr>
              <w:keepNext/>
              <w:spacing w:after="0" w:line="240" w:lineRule="auto"/>
              <w:jc w:val="center"/>
              <w:rPr>
                <w:rFonts w:ascii="Arial" w:eastAsia="Times New Roman" w:hAnsi="Arial" w:cs="Arial"/>
                <w:b/>
                <w:bCs/>
                <w:color w:val="FFFFFF"/>
                <w:sz w:val="20"/>
                <w:szCs w:val="20"/>
              </w:rPr>
            </w:pPr>
            <w:r w:rsidRPr="005972F6">
              <w:rPr>
                <w:rFonts w:ascii="Arial" w:eastAsia="Times New Roman" w:hAnsi="Arial" w:cs="Arial"/>
                <w:b/>
                <w:bCs/>
                <w:color w:val="FFFFFF"/>
                <w:sz w:val="20"/>
                <w:szCs w:val="20"/>
              </w:rPr>
              <w:t>SmartRate-only</w:t>
            </w:r>
          </w:p>
        </w:tc>
        <w:tc>
          <w:tcPr>
            <w:tcW w:w="1904" w:type="dxa"/>
            <w:gridSpan w:val="2"/>
            <w:tcBorders>
              <w:top w:val="single" w:sz="8" w:space="0" w:color="auto"/>
              <w:left w:val="nil"/>
              <w:bottom w:val="single" w:sz="8" w:space="0" w:color="FFFFFF"/>
              <w:right w:val="single" w:sz="8" w:space="0" w:color="000000"/>
            </w:tcBorders>
            <w:shd w:val="clear" w:color="000000" w:fill="1F497D"/>
            <w:vAlign w:val="center"/>
            <w:hideMark/>
          </w:tcPr>
          <w:p w:rsidR="005972F6" w:rsidRPr="005972F6" w:rsidRDefault="005972F6" w:rsidP="00254844">
            <w:pPr>
              <w:keepNext/>
              <w:spacing w:after="0" w:line="240" w:lineRule="auto"/>
              <w:jc w:val="center"/>
              <w:rPr>
                <w:rFonts w:ascii="Arial" w:eastAsia="Times New Roman" w:hAnsi="Arial" w:cs="Arial"/>
                <w:b/>
                <w:bCs/>
                <w:color w:val="FFFFFF"/>
                <w:sz w:val="20"/>
                <w:szCs w:val="20"/>
              </w:rPr>
            </w:pPr>
            <w:r w:rsidRPr="005972F6">
              <w:rPr>
                <w:rFonts w:ascii="Arial" w:eastAsia="Times New Roman" w:hAnsi="Arial" w:cs="Arial"/>
                <w:b/>
                <w:bCs/>
                <w:color w:val="FFFFFF"/>
                <w:sz w:val="20"/>
                <w:szCs w:val="20"/>
              </w:rPr>
              <w:t>Dually-Enrolled</w:t>
            </w:r>
          </w:p>
        </w:tc>
      </w:tr>
      <w:tr w:rsidR="005972F6" w:rsidRPr="005972F6" w:rsidTr="002B5283">
        <w:trPr>
          <w:trHeight w:val="525"/>
          <w:jc w:val="center"/>
        </w:trPr>
        <w:tc>
          <w:tcPr>
            <w:tcW w:w="1215" w:type="dxa"/>
            <w:vMerge/>
            <w:tcBorders>
              <w:top w:val="single" w:sz="8" w:space="0" w:color="auto"/>
              <w:left w:val="single" w:sz="8" w:space="0" w:color="auto"/>
              <w:bottom w:val="single" w:sz="8" w:space="0" w:color="000000"/>
              <w:right w:val="single" w:sz="8" w:space="0" w:color="FFFFFF"/>
            </w:tcBorders>
            <w:vAlign w:val="center"/>
            <w:hideMark/>
          </w:tcPr>
          <w:p w:rsidR="005972F6" w:rsidRPr="005972F6" w:rsidRDefault="005972F6" w:rsidP="00254844">
            <w:pPr>
              <w:keepNext/>
              <w:spacing w:after="0" w:line="240" w:lineRule="auto"/>
              <w:rPr>
                <w:rFonts w:ascii="Arial" w:eastAsia="Times New Roman" w:hAnsi="Arial" w:cs="Arial"/>
                <w:b/>
                <w:bCs/>
                <w:color w:val="FFFFFF"/>
                <w:sz w:val="20"/>
                <w:szCs w:val="20"/>
              </w:rPr>
            </w:pPr>
          </w:p>
        </w:tc>
        <w:tc>
          <w:tcPr>
            <w:tcW w:w="1215" w:type="dxa"/>
            <w:tcBorders>
              <w:top w:val="nil"/>
              <w:left w:val="nil"/>
              <w:bottom w:val="single" w:sz="8" w:space="0" w:color="auto"/>
              <w:right w:val="single" w:sz="8" w:space="0" w:color="FFFFFF"/>
            </w:tcBorders>
            <w:shd w:val="clear" w:color="000000" w:fill="1F497D"/>
            <w:vAlign w:val="center"/>
            <w:hideMark/>
          </w:tcPr>
          <w:p w:rsidR="005972F6" w:rsidRPr="005972F6" w:rsidRDefault="005972F6" w:rsidP="00254844">
            <w:pPr>
              <w:keepNext/>
              <w:spacing w:after="0" w:line="240" w:lineRule="auto"/>
              <w:jc w:val="center"/>
              <w:rPr>
                <w:rFonts w:ascii="Arial" w:eastAsia="Times New Roman" w:hAnsi="Arial" w:cs="Arial"/>
                <w:b/>
                <w:bCs/>
                <w:color w:val="FFFFFF"/>
                <w:sz w:val="20"/>
                <w:szCs w:val="20"/>
              </w:rPr>
            </w:pPr>
            <w:r w:rsidRPr="005972F6">
              <w:rPr>
                <w:rFonts w:ascii="Arial" w:eastAsia="Times New Roman" w:hAnsi="Arial" w:cs="Arial"/>
                <w:b/>
                <w:bCs/>
                <w:color w:val="FFFFFF"/>
                <w:sz w:val="20"/>
                <w:szCs w:val="20"/>
              </w:rPr>
              <w:t>2013</w:t>
            </w:r>
          </w:p>
        </w:tc>
        <w:tc>
          <w:tcPr>
            <w:tcW w:w="1246" w:type="dxa"/>
            <w:tcBorders>
              <w:top w:val="nil"/>
              <w:left w:val="nil"/>
              <w:bottom w:val="single" w:sz="8" w:space="0" w:color="auto"/>
              <w:right w:val="single" w:sz="8" w:space="0" w:color="FFFFFF"/>
            </w:tcBorders>
            <w:shd w:val="clear" w:color="000000" w:fill="1F497D"/>
            <w:vAlign w:val="center"/>
            <w:hideMark/>
          </w:tcPr>
          <w:p w:rsidR="005972F6" w:rsidRPr="005972F6" w:rsidRDefault="005972F6" w:rsidP="00254844">
            <w:pPr>
              <w:keepNext/>
              <w:spacing w:after="0" w:line="240" w:lineRule="auto"/>
              <w:jc w:val="center"/>
              <w:rPr>
                <w:rFonts w:ascii="Arial" w:eastAsia="Times New Roman" w:hAnsi="Arial" w:cs="Arial"/>
                <w:b/>
                <w:bCs/>
                <w:color w:val="FFFFFF"/>
                <w:sz w:val="20"/>
                <w:szCs w:val="20"/>
              </w:rPr>
            </w:pPr>
            <w:r w:rsidRPr="005972F6">
              <w:rPr>
                <w:rFonts w:ascii="Arial" w:eastAsia="Times New Roman" w:hAnsi="Arial" w:cs="Arial"/>
                <w:b/>
                <w:bCs/>
                <w:color w:val="FFFFFF"/>
                <w:sz w:val="20"/>
                <w:szCs w:val="20"/>
              </w:rPr>
              <w:t>2014-2023</w:t>
            </w:r>
          </w:p>
        </w:tc>
        <w:tc>
          <w:tcPr>
            <w:tcW w:w="951" w:type="dxa"/>
            <w:tcBorders>
              <w:top w:val="nil"/>
              <w:left w:val="nil"/>
              <w:bottom w:val="single" w:sz="8" w:space="0" w:color="auto"/>
              <w:right w:val="single" w:sz="8" w:space="0" w:color="FFFFFF"/>
            </w:tcBorders>
            <w:shd w:val="clear" w:color="000000" w:fill="1F497D"/>
            <w:vAlign w:val="center"/>
            <w:hideMark/>
          </w:tcPr>
          <w:p w:rsidR="005972F6" w:rsidRPr="005972F6" w:rsidRDefault="005972F6" w:rsidP="00254844">
            <w:pPr>
              <w:keepNext/>
              <w:spacing w:after="0" w:line="240" w:lineRule="auto"/>
              <w:jc w:val="center"/>
              <w:rPr>
                <w:rFonts w:ascii="Arial" w:eastAsia="Times New Roman" w:hAnsi="Arial" w:cs="Arial"/>
                <w:b/>
                <w:bCs/>
                <w:color w:val="FFFFFF"/>
                <w:sz w:val="20"/>
                <w:szCs w:val="20"/>
              </w:rPr>
            </w:pPr>
            <w:r w:rsidRPr="005972F6">
              <w:rPr>
                <w:rFonts w:ascii="Arial" w:eastAsia="Times New Roman" w:hAnsi="Arial" w:cs="Arial"/>
                <w:b/>
                <w:bCs/>
                <w:color w:val="FFFFFF"/>
                <w:sz w:val="20"/>
                <w:szCs w:val="20"/>
              </w:rPr>
              <w:t>2013</w:t>
            </w:r>
          </w:p>
        </w:tc>
        <w:tc>
          <w:tcPr>
            <w:tcW w:w="953" w:type="dxa"/>
            <w:tcBorders>
              <w:top w:val="nil"/>
              <w:left w:val="nil"/>
              <w:bottom w:val="single" w:sz="8" w:space="0" w:color="auto"/>
              <w:right w:val="single" w:sz="8" w:space="0" w:color="auto"/>
            </w:tcBorders>
            <w:shd w:val="clear" w:color="000000" w:fill="1F497D"/>
            <w:vAlign w:val="center"/>
            <w:hideMark/>
          </w:tcPr>
          <w:p w:rsidR="005972F6" w:rsidRPr="005972F6" w:rsidRDefault="005972F6" w:rsidP="00254844">
            <w:pPr>
              <w:keepNext/>
              <w:spacing w:after="0" w:line="240" w:lineRule="auto"/>
              <w:jc w:val="center"/>
              <w:rPr>
                <w:rFonts w:ascii="Arial" w:eastAsia="Times New Roman" w:hAnsi="Arial" w:cs="Arial"/>
                <w:b/>
                <w:bCs/>
                <w:color w:val="FFFFFF"/>
                <w:sz w:val="20"/>
                <w:szCs w:val="20"/>
              </w:rPr>
            </w:pPr>
            <w:r w:rsidRPr="005972F6">
              <w:rPr>
                <w:rFonts w:ascii="Arial" w:eastAsia="Times New Roman" w:hAnsi="Arial" w:cs="Arial"/>
                <w:b/>
                <w:bCs/>
                <w:color w:val="FFFFFF"/>
                <w:sz w:val="20"/>
                <w:szCs w:val="20"/>
              </w:rPr>
              <w:t>2014-2023</w:t>
            </w:r>
          </w:p>
        </w:tc>
      </w:tr>
      <w:tr w:rsidR="001C4D58" w:rsidRPr="005972F6" w:rsidTr="002B5283">
        <w:trPr>
          <w:trHeight w:val="495"/>
          <w:jc w:val="center"/>
        </w:trPr>
        <w:tc>
          <w:tcPr>
            <w:tcW w:w="1215" w:type="dxa"/>
            <w:tcBorders>
              <w:top w:val="nil"/>
              <w:left w:val="single" w:sz="8" w:space="0" w:color="auto"/>
              <w:bottom w:val="single" w:sz="8" w:space="0" w:color="auto"/>
              <w:right w:val="single" w:sz="8" w:space="0" w:color="auto"/>
            </w:tcBorders>
            <w:shd w:val="clear" w:color="auto" w:fill="auto"/>
            <w:vAlign w:val="center"/>
            <w:hideMark/>
          </w:tcPr>
          <w:p w:rsidR="001C4D58" w:rsidRPr="005972F6" w:rsidRDefault="001C4D58" w:rsidP="00254844">
            <w:pPr>
              <w:keepNext/>
              <w:spacing w:after="0" w:line="240" w:lineRule="auto"/>
              <w:jc w:val="center"/>
              <w:rPr>
                <w:rFonts w:ascii="Arial" w:eastAsia="Times New Roman" w:hAnsi="Arial" w:cs="Arial"/>
                <w:b/>
                <w:bCs/>
                <w:color w:val="000000"/>
                <w:sz w:val="18"/>
                <w:szCs w:val="18"/>
              </w:rPr>
            </w:pPr>
            <w:r w:rsidRPr="005972F6">
              <w:rPr>
                <w:rFonts w:ascii="Arial" w:eastAsia="Times New Roman" w:hAnsi="Arial" w:cs="Arial"/>
                <w:b/>
                <w:bCs/>
                <w:color w:val="000000"/>
                <w:sz w:val="18"/>
                <w:szCs w:val="18"/>
              </w:rPr>
              <w:t>Greater Bay Area</w:t>
            </w:r>
          </w:p>
        </w:tc>
        <w:tc>
          <w:tcPr>
            <w:tcW w:w="1215"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26.1</w:t>
            </w:r>
          </w:p>
        </w:tc>
        <w:tc>
          <w:tcPr>
            <w:tcW w:w="1246"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28.1</w:t>
            </w:r>
          </w:p>
        </w:tc>
        <w:tc>
          <w:tcPr>
            <w:tcW w:w="951"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13.1</w:t>
            </w:r>
          </w:p>
        </w:tc>
        <w:tc>
          <w:tcPr>
            <w:tcW w:w="953"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14.3</w:t>
            </w:r>
          </w:p>
        </w:tc>
      </w:tr>
      <w:tr w:rsidR="001C4D58" w:rsidRPr="005972F6" w:rsidTr="002B5283">
        <w:trPr>
          <w:trHeight w:val="495"/>
          <w:jc w:val="center"/>
        </w:trPr>
        <w:tc>
          <w:tcPr>
            <w:tcW w:w="1215" w:type="dxa"/>
            <w:tcBorders>
              <w:top w:val="nil"/>
              <w:left w:val="single" w:sz="8" w:space="0" w:color="auto"/>
              <w:bottom w:val="single" w:sz="8" w:space="0" w:color="auto"/>
              <w:right w:val="single" w:sz="8" w:space="0" w:color="auto"/>
            </w:tcBorders>
            <w:shd w:val="clear" w:color="auto" w:fill="auto"/>
            <w:vAlign w:val="center"/>
            <w:hideMark/>
          </w:tcPr>
          <w:p w:rsidR="001C4D58" w:rsidRPr="005972F6" w:rsidRDefault="001C4D58" w:rsidP="00254844">
            <w:pPr>
              <w:keepNext/>
              <w:spacing w:after="0" w:line="240" w:lineRule="auto"/>
              <w:jc w:val="center"/>
              <w:rPr>
                <w:rFonts w:ascii="Arial" w:eastAsia="Times New Roman" w:hAnsi="Arial" w:cs="Arial"/>
                <w:b/>
                <w:bCs/>
                <w:color w:val="000000"/>
                <w:sz w:val="18"/>
                <w:szCs w:val="18"/>
              </w:rPr>
            </w:pPr>
            <w:r w:rsidRPr="005972F6">
              <w:rPr>
                <w:rFonts w:ascii="Arial" w:eastAsia="Times New Roman" w:hAnsi="Arial" w:cs="Arial"/>
                <w:b/>
                <w:bCs/>
                <w:color w:val="000000"/>
                <w:sz w:val="18"/>
                <w:szCs w:val="18"/>
              </w:rPr>
              <w:t>Greater Fresno</w:t>
            </w:r>
          </w:p>
        </w:tc>
        <w:tc>
          <w:tcPr>
            <w:tcW w:w="1215"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6.0</w:t>
            </w:r>
          </w:p>
        </w:tc>
        <w:tc>
          <w:tcPr>
            <w:tcW w:w="1246"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6.4</w:t>
            </w:r>
          </w:p>
        </w:tc>
        <w:tc>
          <w:tcPr>
            <w:tcW w:w="951"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3.7</w:t>
            </w:r>
          </w:p>
        </w:tc>
        <w:tc>
          <w:tcPr>
            <w:tcW w:w="953"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4.0</w:t>
            </w:r>
          </w:p>
        </w:tc>
      </w:tr>
      <w:tr w:rsidR="001C4D58" w:rsidRPr="005972F6" w:rsidTr="002B5283">
        <w:trPr>
          <w:trHeight w:val="315"/>
          <w:jc w:val="center"/>
        </w:trPr>
        <w:tc>
          <w:tcPr>
            <w:tcW w:w="1215" w:type="dxa"/>
            <w:tcBorders>
              <w:top w:val="nil"/>
              <w:left w:val="single" w:sz="8" w:space="0" w:color="auto"/>
              <w:bottom w:val="single" w:sz="8" w:space="0" w:color="auto"/>
              <w:right w:val="single" w:sz="8" w:space="0" w:color="auto"/>
            </w:tcBorders>
            <w:shd w:val="clear" w:color="auto" w:fill="auto"/>
            <w:vAlign w:val="center"/>
            <w:hideMark/>
          </w:tcPr>
          <w:p w:rsidR="001C4D58" w:rsidRPr="005972F6" w:rsidRDefault="001C4D58" w:rsidP="00254844">
            <w:pPr>
              <w:keepNext/>
              <w:spacing w:after="0" w:line="240" w:lineRule="auto"/>
              <w:jc w:val="center"/>
              <w:rPr>
                <w:rFonts w:ascii="Arial" w:eastAsia="Times New Roman" w:hAnsi="Arial" w:cs="Arial"/>
                <w:b/>
                <w:bCs/>
                <w:color w:val="000000"/>
                <w:sz w:val="18"/>
                <w:szCs w:val="18"/>
              </w:rPr>
            </w:pPr>
            <w:r w:rsidRPr="005972F6">
              <w:rPr>
                <w:rFonts w:ascii="Arial" w:eastAsia="Times New Roman" w:hAnsi="Arial" w:cs="Arial"/>
                <w:b/>
                <w:bCs/>
                <w:color w:val="000000"/>
                <w:sz w:val="18"/>
                <w:szCs w:val="18"/>
              </w:rPr>
              <w:t>Humboldt</w:t>
            </w:r>
          </w:p>
        </w:tc>
        <w:tc>
          <w:tcPr>
            <w:tcW w:w="1215"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0.1</w:t>
            </w:r>
          </w:p>
        </w:tc>
        <w:tc>
          <w:tcPr>
            <w:tcW w:w="1246"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0.1</w:t>
            </w:r>
          </w:p>
        </w:tc>
        <w:tc>
          <w:tcPr>
            <w:tcW w:w="951"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0.0</w:t>
            </w:r>
          </w:p>
        </w:tc>
        <w:tc>
          <w:tcPr>
            <w:tcW w:w="953"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0.0</w:t>
            </w:r>
          </w:p>
        </w:tc>
      </w:tr>
      <w:tr w:rsidR="001C4D58" w:rsidRPr="005972F6" w:rsidTr="002B5283">
        <w:trPr>
          <w:trHeight w:val="315"/>
          <w:jc w:val="center"/>
        </w:trPr>
        <w:tc>
          <w:tcPr>
            <w:tcW w:w="1215" w:type="dxa"/>
            <w:tcBorders>
              <w:top w:val="nil"/>
              <w:left w:val="single" w:sz="8" w:space="0" w:color="auto"/>
              <w:bottom w:val="single" w:sz="8" w:space="0" w:color="auto"/>
              <w:right w:val="single" w:sz="8" w:space="0" w:color="auto"/>
            </w:tcBorders>
            <w:shd w:val="clear" w:color="auto" w:fill="auto"/>
            <w:vAlign w:val="center"/>
            <w:hideMark/>
          </w:tcPr>
          <w:p w:rsidR="001C4D58" w:rsidRPr="005972F6" w:rsidRDefault="001C4D58" w:rsidP="00254844">
            <w:pPr>
              <w:keepNext/>
              <w:spacing w:after="0" w:line="240" w:lineRule="auto"/>
              <w:jc w:val="center"/>
              <w:rPr>
                <w:rFonts w:ascii="Arial" w:eastAsia="Times New Roman" w:hAnsi="Arial" w:cs="Arial"/>
                <w:b/>
                <w:bCs/>
                <w:color w:val="000000"/>
                <w:sz w:val="18"/>
                <w:szCs w:val="18"/>
              </w:rPr>
            </w:pPr>
            <w:r w:rsidRPr="005972F6">
              <w:rPr>
                <w:rFonts w:ascii="Arial" w:eastAsia="Times New Roman" w:hAnsi="Arial" w:cs="Arial"/>
                <w:b/>
                <w:bCs/>
                <w:color w:val="000000"/>
                <w:sz w:val="18"/>
                <w:szCs w:val="18"/>
              </w:rPr>
              <w:t>Kern</w:t>
            </w:r>
          </w:p>
        </w:tc>
        <w:tc>
          <w:tcPr>
            <w:tcW w:w="1215"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6.6</w:t>
            </w:r>
          </w:p>
        </w:tc>
        <w:tc>
          <w:tcPr>
            <w:tcW w:w="1246"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7.1</w:t>
            </w:r>
          </w:p>
        </w:tc>
        <w:tc>
          <w:tcPr>
            <w:tcW w:w="951"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1.6</w:t>
            </w:r>
          </w:p>
        </w:tc>
        <w:tc>
          <w:tcPr>
            <w:tcW w:w="953"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1.8</w:t>
            </w:r>
          </w:p>
        </w:tc>
      </w:tr>
      <w:tr w:rsidR="001C4D58" w:rsidRPr="005972F6" w:rsidTr="002B5283">
        <w:trPr>
          <w:trHeight w:val="495"/>
          <w:jc w:val="center"/>
        </w:trPr>
        <w:tc>
          <w:tcPr>
            <w:tcW w:w="1215" w:type="dxa"/>
            <w:tcBorders>
              <w:top w:val="nil"/>
              <w:left w:val="single" w:sz="8" w:space="0" w:color="auto"/>
              <w:bottom w:val="single" w:sz="8" w:space="0" w:color="auto"/>
              <w:right w:val="single" w:sz="8" w:space="0" w:color="auto"/>
            </w:tcBorders>
            <w:shd w:val="clear" w:color="auto" w:fill="auto"/>
            <w:vAlign w:val="center"/>
            <w:hideMark/>
          </w:tcPr>
          <w:p w:rsidR="001C4D58" w:rsidRPr="005972F6" w:rsidRDefault="001C4D58" w:rsidP="00254844">
            <w:pPr>
              <w:keepNext/>
              <w:spacing w:after="0" w:line="240" w:lineRule="auto"/>
              <w:jc w:val="center"/>
              <w:rPr>
                <w:rFonts w:ascii="Arial" w:eastAsia="Times New Roman" w:hAnsi="Arial" w:cs="Arial"/>
                <w:b/>
                <w:bCs/>
                <w:color w:val="000000"/>
                <w:sz w:val="18"/>
                <w:szCs w:val="18"/>
              </w:rPr>
            </w:pPr>
            <w:r w:rsidRPr="005972F6">
              <w:rPr>
                <w:rFonts w:ascii="Arial" w:eastAsia="Times New Roman" w:hAnsi="Arial" w:cs="Arial"/>
                <w:b/>
                <w:bCs/>
                <w:color w:val="000000"/>
                <w:sz w:val="18"/>
                <w:szCs w:val="18"/>
              </w:rPr>
              <w:t>Northern Coast</w:t>
            </w:r>
          </w:p>
        </w:tc>
        <w:tc>
          <w:tcPr>
            <w:tcW w:w="1215"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2.9</w:t>
            </w:r>
          </w:p>
        </w:tc>
        <w:tc>
          <w:tcPr>
            <w:tcW w:w="1246"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3.1</w:t>
            </w:r>
          </w:p>
        </w:tc>
        <w:tc>
          <w:tcPr>
            <w:tcW w:w="951"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1.9</w:t>
            </w:r>
          </w:p>
        </w:tc>
        <w:tc>
          <w:tcPr>
            <w:tcW w:w="953"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2.1</w:t>
            </w:r>
          </w:p>
        </w:tc>
      </w:tr>
      <w:tr w:rsidR="001C4D58" w:rsidRPr="005972F6" w:rsidTr="002B5283">
        <w:trPr>
          <w:trHeight w:val="315"/>
          <w:jc w:val="center"/>
        </w:trPr>
        <w:tc>
          <w:tcPr>
            <w:tcW w:w="1215" w:type="dxa"/>
            <w:tcBorders>
              <w:top w:val="nil"/>
              <w:left w:val="single" w:sz="8" w:space="0" w:color="auto"/>
              <w:bottom w:val="single" w:sz="8" w:space="0" w:color="auto"/>
              <w:right w:val="single" w:sz="8" w:space="0" w:color="auto"/>
            </w:tcBorders>
            <w:shd w:val="clear" w:color="auto" w:fill="auto"/>
            <w:vAlign w:val="center"/>
            <w:hideMark/>
          </w:tcPr>
          <w:p w:rsidR="001C4D58" w:rsidRPr="005972F6" w:rsidRDefault="001C4D58" w:rsidP="00254844">
            <w:pPr>
              <w:keepNext/>
              <w:spacing w:after="0" w:line="240" w:lineRule="auto"/>
              <w:jc w:val="center"/>
              <w:rPr>
                <w:rFonts w:ascii="Arial" w:eastAsia="Times New Roman" w:hAnsi="Arial" w:cs="Arial"/>
                <w:b/>
                <w:bCs/>
                <w:color w:val="000000"/>
                <w:sz w:val="18"/>
                <w:szCs w:val="18"/>
              </w:rPr>
            </w:pPr>
            <w:r w:rsidRPr="005972F6">
              <w:rPr>
                <w:rFonts w:ascii="Arial" w:eastAsia="Times New Roman" w:hAnsi="Arial" w:cs="Arial"/>
                <w:b/>
                <w:bCs/>
                <w:color w:val="000000"/>
                <w:sz w:val="18"/>
                <w:szCs w:val="18"/>
              </w:rPr>
              <w:t>Other</w:t>
            </w:r>
          </w:p>
        </w:tc>
        <w:tc>
          <w:tcPr>
            <w:tcW w:w="1215"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9.2</w:t>
            </w:r>
          </w:p>
        </w:tc>
        <w:tc>
          <w:tcPr>
            <w:tcW w:w="1246"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9.9</w:t>
            </w:r>
          </w:p>
        </w:tc>
        <w:tc>
          <w:tcPr>
            <w:tcW w:w="951"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5.0</w:t>
            </w:r>
          </w:p>
        </w:tc>
        <w:tc>
          <w:tcPr>
            <w:tcW w:w="953"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5.4</w:t>
            </w:r>
          </w:p>
        </w:tc>
      </w:tr>
      <w:tr w:rsidR="001C4D58" w:rsidRPr="005972F6" w:rsidTr="002B5283">
        <w:trPr>
          <w:trHeight w:val="315"/>
          <w:jc w:val="center"/>
        </w:trPr>
        <w:tc>
          <w:tcPr>
            <w:tcW w:w="1215" w:type="dxa"/>
            <w:tcBorders>
              <w:top w:val="nil"/>
              <w:left w:val="single" w:sz="8" w:space="0" w:color="auto"/>
              <w:bottom w:val="single" w:sz="8" w:space="0" w:color="auto"/>
              <w:right w:val="single" w:sz="8" w:space="0" w:color="auto"/>
            </w:tcBorders>
            <w:shd w:val="clear" w:color="auto" w:fill="auto"/>
            <w:vAlign w:val="center"/>
            <w:hideMark/>
          </w:tcPr>
          <w:p w:rsidR="001C4D58" w:rsidRPr="005972F6" w:rsidRDefault="001C4D58" w:rsidP="00254844">
            <w:pPr>
              <w:keepNext/>
              <w:spacing w:after="0" w:line="240" w:lineRule="auto"/>
              <w:jc w:val="center"/>
              <w:rPr>
                <w:rFonts w:ascii="Arial" w:eastAsia="Times New Roman" w:hAnsi="Arial" w:cs="Arial"/>
                <w:b/>
                <w:bCs/>
                <w:color w:val="000000"/>
                <w:sz w:val="18"/>
                <w:szCs w:val="18"/>
              </w:rPr>
            </w:pPr>
            <w:r w:rsidRPr="005972F6">
              <w:rPr>
                <w:rFonts w:ascii="Arial" w:eastAsia="Times New Roman" w:hAnsi="Arial" w:cs="Arial"/>
                <w:b/>
                <w:bCs/>
                <w:color w:val="000000"/>
                <w:sz w:val="18"/>
                <w:szCs w:val="18"/>
              </w:rPr>
              <w:t>Sierra</w:t>
            </w:r>
          </w:p>
        </w:tc>
        <w:tc>
          <w:tcPr>
            <w:tcW w:w="1215"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4.7</w:t>
            </w:r>
          </w:p>
        </w:tc>
        <w:tc>
          <w:tcPr>
            <w:tcW w:w="1246"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5.0</w:t>
            </w:r>
          </w:p>
        </w:tc>
        <w:tc>
          <w:tcPr>
            <w:tcW w:w="951"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3.8</w:t>
            </w:r>
          </w:p>
        </w:tc>
        <w:tc>
          <w:tcPr>
            <w:tcW w:w="953"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4.2</w:t>
            </w:r>
          </w:p>
        </w:tc>
      </w:tr>
      <w:tr w:rsidR="001C4D58" w:rsidRPr="005972F6" w:rsidTr="002B5283">
        <w:trPr>
          <w:trHeight w:val="315"/>
          <w:jc w:val="center"/>
        </w:trPr>
        <w:tc>
          <w:tcPr>
            <w:tcW w:w="1215" w:type="dxa"/>
            <w:tcBorders>
              <w:top w:val="nil"/>
              <w:left w:val="single" w:sz="8" w:space="0" w:color="auto"/>
              <w:bottom w:val="single" w:sz="8" w:space="0" w:color="auto"/>
              <w:right w:val="single" w:sz="8" w:space="0" w:color="auto"/>
            </w:tcBorders>
            <w:shd w:val="clear" w:color="auto" w:fill="auto"/>
            <w:vAlign w:val="center"/>
            <w:hideMark/>
          </w:tcPr>
          <w:p w:rsidR="001C4D58" w:rsidRPr="005972F6" w:rsidRDefault="001C4D58" w:rsidP="00254844">
            <w:pPr>
              <w:keepNext/>
              <w:spacing w:after="0" w:line="240" w:lineRule="auto"/>
              <w:jc w:val="center"/>
              <w:rPr>
                <w:rFonts w:ascii="Arial" w:eastAsia="Times New Roman" w:hAnsi="Arial" w:cs="Arial"/>
                <w:b/>
                <w:bCs/>
                <w:color w:val="000000"/>
                <w:sz w:val="18"/>
                <w:szCs w:val="18"/>
              </w:rPr>
            </w:pPr>
            <w:r w:rsidRPr="005972F6">
              <w:rPr>
                <w:rFonts w:ascii="Arial" w:eastAsia="Times New Roman" w:hAnsi="Arial" w:cs="Arial"/>
                <w:b/>
                <w:bCs/>
                <w:color w:val="000000"/>
                <w:sz w:val="18"/>
                <w:szCs w:val="18"/>
              </w:rPr>
              <w:t>Stockton</w:t>
            </w:r>
          </w:p>
        </w:tc>
        <w:tc>
          <w:tcPr>
            <w:tcW w:w="1215"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4.8</w:t>
            </w:r>
          </w:p>
        </w:tc>
        <w:tc>
          <w:tcPr>
            <w:tcW w:w="1246"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5.2</w:t>
            </w:r>
          </w:p>
        </w:tc>
        <w:tc>
          <w:tcPr>
            <w:tcW w:w="951" w:type="dxa"/>
            <w:tcBorders>
              <w:top w:val="nil"/>
              <w:left w:val="nil"/>
              <w:bottom w:val="single" w:sz="8" w:space="0" w:color="auto"/>
              <w:right w:val="single" w:sz="8" w:space="0" w:color="auto"/>
            </w:tcBorders>
            <w:shd w:val="clear" w:color="auto" w:fill="auto"/>
            <w:vAlign w:val="bottom"/>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2.9</w:t>
            </w:r>
          </w:p>
        </w:tc>
        <w:tc>
          <w:tcPr>
            <w:tcW w:w="953" w:type="dxa"/>
            <w:tcBorders>
              <w:top w:val="nil"/>
              <w:left w:val="nil"/>
              <w:bottom w:val="single" w:sz="8" w:space="0" w:color="auto"/>
              <w:right w:val="single" w:sz="8" w:space="0" w:color="auto"/>
            </w:tcBorders>
            <w:shd w:val="clear" w:color="auto" w:fill="auto"/>
            <w:vAlign w:val="bottom"/>
            <w:hideMark/>
          </w:tcPr>
          <w:p w:rsidR="001C4D58" w:rsidRPr="005264A2" w:rsidRDefault="00280766" w:rsidP="00254844">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3.1</w:t>
            </w:r>
          </w:p>
        </w:tc>
      </w:tr>
      <w:tr w:rsidR="001C4D58" w:rsidRPr="005972F6" w:rsidTr="002B5283">
        <w:trPr>
          <w:trHeight w:val="315"/>
          <w:jc w:val="center"/>
        </w:trPr>
        <w:tc>
          <w:tcPr>
            <w:tcW w:w="1215" w:type="dxa"/>
            <w:tcBorders>
              <w:top w:val="nil"/>
              <w:left w:val="single" w:sz="8" w:space="0" w:color="auto"/>
              <w:bottom w:val="single" w:sz="8" w:space="0" w:color="auto"/>
              <w:right w:val="single" w:sz="8" w:space="0" w:color="auto"/>
            </w:tcBorders>
            <w:shd w:val="clear" w:color="auto" w:fill="auto"/>
            <w:vAlign w:val="center"/>
            <w:hideMark/>
          </w:tcPr>
          <w:p w:rsidR="001C4D58" w:rsidRPr="005972F6" w:rsidRDefault="001C4D58" w:rsidP="005972F6">
            <w:pPr>
              <w:spacing w:after="0" w:line="240" w:lineRule="auto"/>
              <w:jc w:val="center"/>
              <w:rPr>
                <w:rFonts w:ascii="Arial" w:eastAsia="Times New Roman" w:hAnsi="Arial" w:cs="Arial"/>
                <w:b/>
                <w:bCs/>
                <w:color w:val="000000"/>
                <w:sz w:val="18"/>
                <w:szCs w:val="18"/>
              </w:rPr>
            </w:pPr>
            <w:r w:rsidRPr="005972F6">
              <w:rPr>
                <w:rFonts w:ascii="Arial" w:eastAsia="Times New Roman" w:hAnsi="Arial" w:cs="Arial"/>
                <w:b/>
                <w:bCs/>
                <w:color w:val="000000"/>
                <w:sz w:val="18"/>
                <w:szCs w:val="18"/>
              </w:rPr>
              <w:t>Total</w:t>
            </w:r>
          </w:p>
        </w:tc>
        <w:tc>
          <w:tcPr>
            <w:tcW w:w="1215"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1C4D58">
            <w:pPr>
              <w:spacing w:after="0" w:line="240" w:lineRule="auto"/>
              <w:jc w:val="center"/>
              <w:rPr>
                <w:rFonts w:ascii="Arial" w:eastAsia="Times New Roman" w:hAnsi="Arial" w:cs="Arial"/>
                <w:color w:val="000000"/>
                <w:sz w:val="18"/>
                <w:szCs w:val="18"/>
              </w:rPr>
            </w:pPr>
            <w:r w:rsidRPr="00280766">
              <w:rPr>
                <w:rFonts w:ascii="Arial" w:eastAsia="Times New Roman" w:hAnsi="Arial" w:cs="Arial"/>
                <w:color w:val="000000"/>
                <w:sz w:val="18"/>
                <w:szCs w:val="18"/>
              </w:rPr>
              <w:t>60.4</w:t>
            </w:r>
          </w:p>
        </w:tc>
        <w:tc>
          <w:tcPr>
            <w:tcW w:w="1246"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1C4D58">
            <w:pPr>
              <w:spacing w:after="0" w:line="240" w:lineRule="auto"/>
              <w:jc w:val="center"/>
              <w:rPr>
                <w:rFonts w:ascii="Arial" w:eastAsia="Times New Roman" w:hAnsi="Arial" w:cs="Arial"/>
                <w:color w:val="000000"/>
                <w:sz w:val="18"/>
                <w:szCs w:val="18"/>
              </w:rPr>
            </w:pPr>
            <w:r w:rsidRPr="00280766">
              <w:rPr>
                <w:rFonts w:ascii="Arial" w:eastAsia="Times New Roman" w:hAnsi="Arial" w:cs="Arial"/>
                <w:color w:val="000000"/>
                <w:sz w:val="18"/>
                <w:szCs w:val="18"/>
              </w:rPr>
              <w:t>65.0</w:t>
            </w:r>
          </w:p>
        </w:tc>
        <w:tc>
          <w:tcPr>
            <w:tcW w:w="951"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5972F6">
            <w:pPr>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32.1</w:t>
            </w:r>
          </w:p>
        </w:tc>
        <w:tc>
          <w:tcPr>
            <w:tcW w:w="953" w:type="dxa"/>
            <w:tcBorders>
              <w:top w:val="nil"/>
              <w:left w:val="nil"/>
              <w:bottom w:val="single" w:sz="8" w:space="0" w:color="auto"/>
              <w:right w:val="single" w:sz="8" w:space="0" w:color="auto"/>
            </w:tcBorders>
            <w:shd w:val="clear" w:color="auto" w:fill="auto"/>
            <w:vAlign w:val="center"/>
            <w:hideMark/>
          </w:tcPr>
          <w:p w:rsidR="001C4D58" w:rsidRPr="005264A2" w:rsidRDefault="00280766" w:rsidP="005972F6">
            <w:pPr>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35.0</w:t>
            </w:r>
          </w:p>
        </w:tc>
      </w:tr>
    </w:tbl>
    <w:p w:rsidR="00562A90" w:rsidRPr="00612923" w:rsidRDefault="00562A90" w:rsidP="00766E1A">
      <w:pPr>
        <w:pStyle w:val="TableFigureCaption"/>
        <w:jc w:val="left"/>
      </w:pPr>
    </w:p>
    <w:p w:rsidR="00562A90" w:rsidRPr="00612923" w:rsidRDefault="00562A90" w:rsidP="00766E1A">
      <w:pPr>
        <w:pStyle w:val="BodyParaAfterTableFigure"/>
      </w:pPr>
      <w:r w:rsidRPr="00612923">
        <w:t xml:space="preserve">Ex ante load impact estimates are shown for 2013 in Table 5-4.  The first and second columns show the average hourly per customer ex ante load impact estimate over the event period from 1 to 6 PM for SmartRate only customers and dually enrolled customers, respectively.  The third column shows the aggregate mean hourly impact for the SmartRate only population while the fourth column shows the same measure but for the dually enrolled population.  The first set of rows corresponds to 1-in-2 weather conditions while the second set covers 1-in-10 weather conditions.  Looking at the SmartRate only population, for the 1-in-2 weather year, the highest estimated impact is on the July peak day, </w:t>
      </w:r>
      <w:r w:rsidRPr="00612923">
        <w:lastRenderedPageBreak/>
        <w:t xml:space="preserve">with an aggregate impact of </w:t>
      </w:r>
      <w:r w:rsidR="00D15B20" w:rsidRPr="00612923">
        <w:t>1</w:t>
      </w:r>
      <w:r w:rsidR="00B66A1C">
        <w:t>3</w:t>
      </w:r>
      <w:r w:rsidRPr="00612923">
        <w:t xml:space="preserve"> MW.  For the dually-enrolled population, the high is on the July peak day with a mean aggregate impact of </w:t>
      </w:r>
      <w:r w:rsidR="001C4D58">
        <w:t>15</w:t>
      </w:r>
      <w:r w:rsidR="001C4D58" w:rsidRPr="00612923">
        <w:t xml:space="preserve"> </w:t>
      </w:r>
      <w:r w:rsidRPr="00612923">
        <w:t>MW.  The largest aggregate mean impact under 1-in-10 conditions for the SmartRate</w:t>
      </w:r>
      <w:r w:rsidR="00D15B20" w:rsidRPr="00612923">
        <w:t>-only</w:t>
      </w:r>
      <w:r w:rsidRPr="00612923">
        <w:t xml:space="preserve"> population is in July, with an impact of </w:t>
      </w:r>
      <w:r w:rsidR="001C4D58" w:rsidRPr="00612923">
        <w:t>1</w:t>
      </w:r>
      <w:r w:rsidR="001C4D58">
        <w:t>7</w:t>
      </w:r>
      <w:r w:rsidR="001C4D58" w:rsidRPr="00612923">
        <w:t xml:space="preserve"> </w:t>
      </w:r>
      <w:r w:rsidRPr="00612923">
        <w:t xml:space="preserve">MW.  For dually-enrolled customers, the greatest aggregate mean impact also occurs on the July peak day with an impact of </w:t>
      </w:r>
      <w:r w:rsidR="001C4D58">
        <w:t>18</w:t>
      </w:r>
      <w:r w:rsidR="001C4D58" w:rsidRPr="00612923">
        <w:t xml:space="preserve"> </w:t>
      </w:r>
      <w:r w:rsidRPr="00612923">
        <w:t>MW.</w:t>
      </w:r>
    </w:p>
    <w:p w:rsidR="00562A90" w:rsidRDefault="00562A90" w:rsidP="00562A90">
      <w:pPr>
        <w:pStyle w:val="TableFigureCaption"/>
        <w:keepLines/>
      </w:pPr>
      <w:r w:rsidRPr="00612923">
        <w:t>Table 5-4:</w:t>
      </w:r>
      <w:r w:rsidRPr="00612923">
        <w:br/>
        <w:t xml:space="preserve">2013 SmartRate </w:t>
      </w:r>
      <w:proofErr w:type="gramStart"/>
      <w:r w:rsidR="00762BA8">
        <w:t>Ex</w:t>
      </w:r>
      <w:proofErr w:type="gramEnd"/>
      <w:r w:rsidR="00762BA8">
        <w:t xml:space="preserve"> Ante </w:t>
      </w:r>
      <w:r w:rsidRPr="00612923">
        <w:t>Load Impact Estimates</w:t>
      </w:r>
      <w:r w:rsidRPr="00612923">
        <w:br/>
        <w:t xml:space="preserve">by Weather Year and Day Type </w:t>
      </w:r>
      <w:r w:rsidRPr="00612923">
        <w:br/>
        <w:t>(Event Period 1-6 PM)</w:t>
      </w:r>
    </w:p>
    <w:tbl>
      <w:tblPr>
        <w:tblW w:w="11275" w:type="dxa"/>
        <w:tblInd w:w="-612" w:type="dxa"/>
        <w:tblLook w:val="04A0"/>
      </w:tblPr>
      <w:tblGrid>
        <w:gridCol w:w="990"/>
        <w:gridCol w:w="2625"/>
        <w:gridCol w:w="1660"/>
        <w:gridCol w:w="1460"/>
        <w:gridCol w:w="1540"/>
        <w:gridCol w:w="1500"/>
        <w:gridCol w:w="1500"/>
      </w:tblGrid>
      <w:tr w:rsidR="00295FC8" w:rsidRPr="006F4150" w:rsidTr="00FC5D0A">
        <w:trPr>
          <w:trHeight w:val="975"/>
        </w:trPr>
        <w:tc>
          <w:tcPr>
            <w:tcW w:w="990" w:type="dxa"/>
            <w:vMerge w:val="restart"/>
            <w:tcBorders>
              <w:top w:val="single" w:sz="8" w:space="0" w:color="auto"/>
              <w:left w:val="single" w:sz="8" w:space="0" w:color="auto"/>
              <w:bottom w:val="single" w:sz="8" w:space="0" w:color="000000"/>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Weather Year</w:t>
            </w:r>
          </w:p>
        </w:tc>
        <w:tc>
          <w:tcPr>
            <w:tcW w:w="2625" w:type="dxa"/>
            <w:vMerge w:val="restart"/>
            <w:tcBorders>
              <w:top w:val="single" w:sz="8" w:space="0" w:color="auto"/>
              <w:left w:val="single" w:sz="8" w:space="0" w:color="FFFFFF"/>
              <w:bottom w:val="single" w:sz="8" w:space="0" w:color="000000"/>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Day Type</w:t>
            </w:r>
          </w:p>
        </w:tc>
        <w:tc>
          <w:tcPr>
            <w:tcW w:w="1660" w:type="dxa"/>
            <w:tcBorders>
              <w:top w:val="single" w:sz="8" w:space="0" w:color="auto"/>
              <w:left w:val="nil"/>
              <w:bottom w:val="single" w:sz="8" w:space="0" w:color="FFFFFF"/>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Mean Hourly Per Customer Impact (SmartRate Only)</w:t>
            </w:r>
          </w:p>
        </w:tc>
        <w:tc>
          <w:tcPr>
            <w:tcW w:w="1460" w:type="dxa"/>
            <w:tcBorders>
              <w:top w:val="single" w:sz="8" w:space="0" w:color="auto"/>
              <w:left w:val="nil"/>
              <w:bottom w:val="single" w:sz="8" w:space="0" w:color="FFFFFF"/>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Mean Hourly Per Customer Impact (Dually Enrolled)</w:t>
            </w:r>
          </w:p>
        </w:tc>
        <w:tc>
          <w:tcPr>
            <w:tcW w:w="1540" w:type="dxa"/>
            <w:tcBorders>
              <w:top w:val="single" w:sz="8" w:space="0" w:color="auto"/>
              <w:left w:val="nil"/>
              <w:bottom w:val="single" w:sz="8" w:space="0" w:color="FFFFFF"/>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Aggregate Mean Hourly Impact (SmartRate Only)</w:t>
            </w:r>
          </w:p>
        </w:tc>
        <w:tc>
          <w:tcPr>
            <w:tcW w:w="1500" w:type="dxa"/>
            <w:tcBorders>
              <w:top w:val="single" w:sz="8" w:space="0" w:color="auto"/>
              <w:left w:val="nil"/>
              <w:bottom w:val="single" w:sz="8" w:space="0" w:color="FFFFFF"/>
              <w:right w:val="single" w:sz="4" w:space="0" w:color="FFFFFF" w:themeColor="background1"/>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Aggregate Mean Hourly Impact (Dually Enrolled)</w:t>
            </w:r>
          </w:p>
        </w:tc>
        <w:tc>
          <w:tcPr>
            <w:tcW w:w="1500" w:type="dxa"/>
            <w:tcBorders>
              <w:top w:val="single" w:sz="8" w:space="0" w:color="auto"/>
              <w:left w:val="single" w:sz="4" w:space="0" w:color="FFFFFF" w:themeColor="background1"/>
              <w:bottom w:val="single" w:sz="8" w:space="0" w:color="FFFFFF"/>
              <w:right w:val="nil"/>
            </w:tcBorders>
            <w:shd w:val="clear" w:color="000000" w:fill="1F497D"/>
            <w:vAlign w:val="center"/>
          </w:tcPr>
          <w:p w:rsidR="00295FC8" w:rsidRPr="006F4150" w:rsidRDefault="00295FC8" w:rsidP="00871858">
            <w:pPr>
              <w:keepNext/>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Aggregate Mean Hourly Impact (Full Program)</w:t>
            </w:r>
          </w:p>
        </w:tc>
      </w:tr>
      <w:tr w:rsidR="00295FC8" w:rsidRPr="006F4150" w:rsidTr="00FC5D0A">
        <w:trPr>
          <w:trHeight w:val="315"/>
        </w:trPr>
        <w:tc>
          <w:tcPr>
            <w:tcW w:w="990" w:type="dxa"/>
            <w:vMerge/>
            <w:tcBorders>
              <w:top w:val="single" w:sz="8" w:space="0" w:color="auto"/>
              <w:left w:val="single" w:sz="8" w:space="0" w:color="auto"/>
              <w:bottom w:val="single" w:sz="8" w:space="0" w:color="000000"/>
              <w:right w:val="single" w:sz="8" w:space="0" w:color="FFFFFF"/>
            </w:tcBorders>
            <w:vAlign w:val="center"/>
            <w:hideMark/>
          </w:tcPr>
          <w:p w:rsidR="00295FC8" w:rsidRPr="006F4150" w:rsidRDefault="00295FC8" w:rsidP="00254844">
            <w:pPr>
              <w:keepNext/>
              <w:spacing w:after="0" w:line="240" w:lineRule="auto"/>
              <w:rPr>
                <w:rFonts w:ascii="Arial" w:eastAsia="Times New Roman" w:hAnsi="Arial" w:cs="Arial"/>
                <w:b/>
                <w:bCs/>
                <w:color w:val="FFFFFF"/>
                <w:sz w:val="18"/>
                <w:szCs w:val="18"/>
              </w:rPr>
            </w:pPr>
          </w:p>
        </w:tc>
        <w:tc>
          <w:tcPr>
            <w:tcW w:w="2625" w:type="dxa"/>
            <w:vMerge/>
            <w:tcBorders>
              <w:top w:val="single" w:sz="8" w:space="0" w:color="auto"/>
              <w:left w:val="single" w:sz="8" w:space="0" w:color="FFFFFF"/>
              <w:bottom w:val="single" w:sz="8" w:space="0" w:color="000000"/>
              <w:right w:val="single" w:sz="8" w:space="0" w:color="FFFFFF"/>
            </w:tcBorders>
            <w:vAlign w:val="center"/>
            <w:hideMark/>
          </w:tcPr>
          <w:p w:rsidR="00295FC8" w:rsidRPr="006F4150" w:rsidRDefault="00295FC8" w:rsidP="00254844">
            <w:pPr>
              <w:keepNext/>
              <w:spacing w:after="0" w:line="240" w:lineRule="auto"/>
              <w:rPr>
                <w:rFonts w:ascii="Arial" w:eastAsia="Times New Roman" w:hAnsi="Arial" w:cs="Arial"/>
                <w:b/>
                <w:bCs/>
                <w:color w:val="FFFFFF"/>
                <w:sz w:val="18"/>
                <w:szCs w:val="18"/>
              </w:rPr>
            </w:pPr>
          </w:p>
        </w:tc>
        <w:tc>
          <w:tcPr>
            <w:tcW w:w="1660" w:type="dxa"/>
            <w:tcBorders>
              <w:top w:val="nil"/>
              <w:left w:val="nil"/>
              <w:bottom w:val="single" w:sz="8" w:space="0" w:color="auto"/>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(kW)</w:t>
            </w:r>
          </w:p>
        </w:tc>
        <w:tc>
          <w:tcPr>
            <w:tcW w:w="1460" w:type="dxa"/>
            <w:tcBorders>
              <w:top w:val="single" w:sz="8" w:space="0" w:color="FFFFFF"/>
              <w:left w:val="nil"/>
              <w:bottom w:val="single" w:sz="4" w:space="0" w:color="auto"/>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(kW)</w:t>
            </w:r>
          </w:p>
        </w:tc>
        <w:tc>
          <w:tcPr>
            <w:tcW w:w="1540" w:type="dxa"/>
            <w:tcBorders>
              <w:top w:val="nil"/>
              <w:left w:val="nil"/>
              <w:bottom w:val="single" w:sz="8" w:space="0" w:color="000000"/>
              <w:right w:val="single" w:sz="8" w:space="0" w:color="FFFFFF"/>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(MW)</w:t>
            </w:r>
          </w:p>
        </w:tc>
        <w:tc>
          <w:tcPr>
            <w:tcW w:w="1500" w:type="dxa"/>
            <w:tcBorders>
              <w:top w:val="nil"/>
              <w:left w:val="nil"/>
              <w:bottom w:val="single" w:sz="8" w:space="0" w:color="auto"/>
              <w:right w:val="single" w:sz="4" w:space="0" w:color="FFFFFF" w:themeColor="background1"/>
            </w:tcBorders>
            <w:shd w:val="clear" w:color="000000" w:fill="1F497D"/>
            <w:vAlign w:val="center"/>
            <w:hideMark/>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sidRPr="006F4150">
              <w:rPr>
                <w:rFonts w:ascii="Arial" w:eastAsia="Times New Roman" w:hAnsi="Arial" w:cs="Arial"/>
                <w:b/>
                <w:bCs/>
                <w:color w:val="FFFFFF"/>
                <w:sz w:val="18"/>
                <w:szCs w:val="18"/>
              </w:rPr>
              <w:t>(MW)</w:t>
            </w:r>
          </w:p>
        </w:tc>
        <w:tc>
          <w:tcPr>
            <w:tcW w:w="1500" w:type="dxa"/>
            <w:tcBorders>
              <w:top w:val="nil"/>
              <w:left w:val="single" w:sz="4" w:space="0" w:color="FFFFFF" w:themeColor="background1"/>
              <w:bottom w:val="single" w:sz="8" w:space="0" w:color="auto"/>
              <w:right w:val="nil"/>
            </w:tcBorders>
            <w:shd w:val="clear" w:color="000000" w:fill="1F497D"/>
          </w:tcPr>
          <w:p w:rsidR="00295FC8" w:rsidRPr="006F4150" w:rsidRDefault="00295FC8" w:rsidP="00254844">
            <w:pPr>
              <w:keepNext/>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(MW)</w:t>
            </w:r>
          </w:p>
        </w:tc>
      </w:tr>
      <w:tr w:rsidR="00295FC8" w:rsidRPr="006F4150" w:rsidTr="00FC5D0A">
        <w:trPr>
          <w:trHeight w:val="315"/>
        </w:trPr>
        <w:tc>
          <w:tcPr>
            <w:tcW w:w="990" w:type="dxa"/>
            <w:vMerge w:val="restart"/>
            <w:tcBorders>
              <w:top w:val="nil"/>
              <w:left w:val="single" w:sz="8" w:space="0" w:color="auto"/>
              <w:bottom w:val="single" w:sz="8" w:space="0" w:color="000000"/>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1-in-2</w:t>
            </w: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Typical Event Day</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0.18</w:t>
            </w:r>
          </w:p>
        </w:tc>
        <w:tc>
          <w:tcPr>
            <w:tcW w:w="1460" w:type="dxa"/>
            <w:tcBorders>
              <w:top w:val="single" w:sz="4" w:space="0" w:color="auto"/>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0.40</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11</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23</w:t>
            </w:r>
          </w:p>
        </w:tc>
      </w:tr>
      <w:tr w:rsidR="00295FC8" w:rsidRPr="006F4150" w:rsidTr="00FC5D0A">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May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0.09</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0.29</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5</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9</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14</w:t>
            </w:r>
          </w:p>
        </w:tc>
      </w:tr>
      <w:tr w:rsidR="00295FC8" w:rsidRPr="006F4150" w:rsidTr="00FC5D0A">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June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0.15</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0.37</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9</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11</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20</w:t>
            </w:r>
          </w:p>
        </w:tc>
      </w:tr>
      <w:tr w:rsidR="00295FC8" w:rsidRPr="006F4150" w:rsidTr="00FC5D0A">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July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0.23</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0.47</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15</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28</w:t>
            </w:r>
          </w:p>
        </w:tc>
      </w:tr>
      <w:tr w:rsidR="00295FC8" w:rsidRPr="006F4150" w:rsidTr="00FC5D0A">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August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0.18</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0.40</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11</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23</w:t>
            </w:r>
          </w:p>
        </w:tc>
      </w:tr>
      <w:tr w:rsidR="00295FC8" w:rsidRPr="006F4150" w:rsidTr="00FC5D0A">
        <w:trPr>
          <w:trHeight w:val="49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September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0.16</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0.38</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10</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22</w:t>
            </w:r>
          </w:p>
        </w:tc>
      </w:tr>
      <w:tr w:rsidR="00295FC8" w:rsidRPr="006F4150" w:rsidTr="00FC5D0A">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October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0.07</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0.27</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5</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9</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14</w:t>
            </w:r>
          </w:p>
        </w:tc>
      </w:tr>
      <w:tr w:rsidR="00295FC8" w:rsidRPr="006F4150" w:rsidTr="00FC5D0A">
        <w:trPr>
          <w:trHeight w:val="315"/>
        </w:trPr>
        <w:tc>
          <w:tcPr>
            <w:tcW w:w="990" w:type="dxa"/>
            <w:vMerge w:val="restart"/>
            <w:tcBorders>
              <w:top w:val="nil"/>
              <w:left w:val="single" w:sz="8" w:space="0" w:color="auto"/>
              <w:bottom w:val="single" w:sz="8" w:space="0" w:color="000000"/>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1-in-10</w:t>
            </w: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Typical Event Day</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0.25</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0.51</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15</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16</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31</w:t>
            </w:r>
          </w:p>
        </w:tc>
      </w:tr>
      <w:tr w:rsidR="00295FC8" w:rsidRPr="006F4150" w:rsidTr="00FC5D0A">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May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0.21</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0.45</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12</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26</w:t>
            </w:r>
          </w:p>
        </w:tc>
      </w:tr>
      <w:tr w:rsidR="00295FC8" w:rsidRPr="006F4150" w:rsidTr="00FC5D0A">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June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0.24</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0.49</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14</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15</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29</w:t>
            </w:r>
          </w:p>
        </w:tc>
      </w:tr>
      <w:tr w:rsidR="00295FC8" w:rsidRPr="006F4150" w:rsidTr="00FC5D0A">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July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0.29</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0.57</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17</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18</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35</w:t>
            </w:r>
          </w:p>
        </w:tc>
      </w:tr>
      <w:tr w:rsidR="00295FC8" w:rsidRPr="006F4150" w:rsidTr="00FC5D0A">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August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0.27</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0.52</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16</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17</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33</w:t>
            </w:r>
          </w:p>
        </w:tc>
      </w:tr>
      <w:tr w:rsidR="00295FC8" w:rsidRPr="006F4150" w:rsidTr="00FC5D0A">
        <w:trPr>
          <w:trHeight w:val="49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September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0.22</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254844">
            <w:pPr>
              <w:keepNext/>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0.45</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keepNext/>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15</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keepNext/>
              <w:spacing w:after="0" w:line="240" w:lineRule="auto"/>
              <w:jc w:val="center"/>
              <w:rPr>
                <w:rFonts w:ascii="Arial" w:hAnsi="Arial" w:cs="Arial"/>
                <w:color w:val="000000"/>
                <w:sz w:val="18"/>
                <w:szCs w:val="18"/>
              </w:rPr>
            </w:pPr>
            <w:r w:rsidRPr="00280766">
              <w:rPr>
                <w:rFonts w:ascii="Arial" w:hAnsi="Arial" w:cs="Arial"/>
                <w:color w:val="000000"/>
                <w:sz w:val="18"/>
                <w:szCs w:val="18"/>
              </w:rPr>
              <w:t>28</w:t>
            </w:r>
          </w:p>
        </w:tc>
      </w:tr>
      <w:tr w:rsidR="00295FC8" w:rsidRPr="006F4150" w:rsidTr="00FC5D0A">
        <w:trPr>
          <w:trHeight w:val="315"/>
        </w:trPr>
        <w:tc>
          <w:tcPr>
            <w:tcW w:w="990" w:type="dxa"/>
            <w:vMerge/>
            <w:tcBorders>
              <w:top w:val="nil"/>
              <w:left w:val="single" w:sz="8" w:space="0" w:color="auto"/>
              <w:bottom w:val="single" w:sz="8" w:space="0" w:color="000000"/>
              <w:right w:val="single" w:sz="8" w:space="0" w:color="auto"/>
            </w:tcBorders>
            <w:vAlign w:val="center"/>
            <w:hideMark/>
          </w:tcPr>
          <w:p w:rsidR="00295FC8" w:rsidRPr="006F4150" w:rsidRDefault="00295FC8" w:rsidP="006F4150">
            <w:pPr>
              <w:spacing w:after="0" w:line="240" w:lineRule="auto"/>
              <w:rPr>
                <w:rFonts w:ascii="Arial" w:eastAsia="Times New Roman" w:hAnsi="Arial" w:cs="Arial"/>
                <w:b/>
                <w:bCs/>
                <w:color w:val="000000"/>
                <w:sz w:val="18"/>
                <w:szCs w:val="18"/>
              </w:rPr>
            </w:pPr>
          </w:p>
        </w:tc>
        <w:tc>
          <w:tcPr>
            <w:tcW w:w="2625"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6F4150">
            <w:pPr>
              <w:spacing w:after="0" w:line="240" w:lineRule="auto"/>
              <w:rPr>
                <w:rFonts w:ascii="Arial" w:eastAsia="Times New Roman" w:hAnsi="Arial" w:cs="Arial"/>
                <w:b/>
                <w:bCs/>
                <w:color w:val="000000"/>
                <w:sz w:val="18"/>
                <w:szCs w:val="18"/>
              </w:rPr>
            </w:pPr>
            <w:r w:rsidRPr="006F4150">
              <w:rPr>
                <w:rFonts w:ascii="Arial" w:eastAsia="Times New Roman" w:hAnsi="Arial" w:cs="Arial"/>
                <w:b/>
                <w:bCs/>
                <w:color w:val="000000"/>
                <w:sz w:val="18"/>
                <w:szCs w:val="18"/>
              </w:rPr>
              <w:t>October Monthly Peak</w:t>
            </w:r>
          </w:p>
        </w:tc>
        <w:tc>
          <w:tcPr>
            <w:tcW w:w="16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6F4150">
            <w:pPr>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0.17</w:t>
            </w:r>
          </w:p>
        </w:tc>
        <w:tc>
          <w:tcPr>
            <w:tcW w:w="1460" w:type="dxa"/>
            <w:tcBorders>
              <w:top w:val="nil"/>
              <w:left w:val="nil"/>
              <w:bottom w:val="single" w:sz="8" w:space="0" w:color="auto"/>
              <w:right w:val="single" w:sz="8" w:space="0" w:color="auto"/>
            </w:tcBorders>
            <w:shd w:val="clear" w:color="auto" w:fill="auto"/>
            <w:vAlign w:val="center"/>
            <w:hideMark/>
          </w:tcPr>
          <w:p w:rsidR="00295FC8" w:rsidRPr="006F4150" w:rsidRDefault="00295FC8" w:rsidP="006F4150">
            <w:pPr>
              <w:spacing w:after="0" w:line="240" w:lineRule="auto"/>
              <w:jc w:val="center"/>
              <w:rPr>
                <w:rFonts w:ascii="Arial" w:eastAsia="Times New Roman" w:hAnsi="Arial" w:cs="Arial"/>
                <w:color w:val="000000"/>
                <w:sz w:val="18"/>
                <w:szCs w:val="18"/>
              </w:rPr>
            </w:pPr>
            <w:r w:rsidRPr="006F4150">
              <w:rPr>
                <w:rFonts w:ascii="Arial" w:eastAsia="Times New Roman" w:hAnsi="Arial" w:cs="Arial"/>
                <w:color w:val="000000"/>
                <w:sz w:val="18"/>
                <w:szCs w:val="18"/>
              </w:rPr>
              <w:t>0.40</w:t>
            </w:r>
          </w:p>
        </w:tc>
        <w:tc>
          <w:tcPr>
            <w:tcW w:w="154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11</w:t>
            </w:r>
          </w:p>
        </w:tc>
        <w:tc>
          <w:tcPr>
            <w:tcW w:w="1500" w:type="dxa"/>
            <w:tcBorders>
              <w:top w:val="nil"/>
              <w:left w:val="nil"/>
              <w:bottom w:val="single" w:sz="8" w:space="0" w:color="auto"/>
              <w:right w:val="single" w:sz="8" w:space="0" w:color="auto"/>
            </w:tcBorders>
            <w:shd w:val="clear" w:color="auto" w:fill="auto"/>
            <w:vAlign w:val="center"/>
            <w:hideMark/>
          </w:tcPr>
          <w:p w:rsidR="00295FC8" w:rsidRPr="005264A2" w:rsidRDefault="00280766" w:rsidP="005264A2">
            <w:pPr>
              <w:spacing w:after="0" w:line="240" w:lineRule="auto"/>
              <w:jc w:val="center"/>
              <w:rPr>
                <w:rFonts w:ascii="Arial" w:eastAsia="Times New Roman" w:hAnsi="Arial" w:cs="Arial"/>
                <w:color w:val="000000"/>
                <w:sz w:val="18"/>
                <w:szCs w:val="18"/>
              </w:rPr>
            </w:pPr>
            <w:r w:rsidRPr="00280766">
              <w:rPr>
                <w:rFonts w:ascii="Arial" w:hAnsi="Arial" w:cs="Arial"/>
                <w:color w:val="000000"/>
                <w:sz w:val="18"/>
                <w:szCs w:val="18"/>
              </w:rPr>
              <w:t>13</w:t>
            </w:r>
          </w:p>
        </w:tc>
        <w:tc>
          <w:tcPr>
            <w:tcW w:w="1500" w:type="dxa"/>
            <w:tcBorders>
              <w:top w:val="nil"/>
              <w:left w:val="nil"/>
              <w:bottom w:val="single" w:sz="8" w:space="0" w:color="auto"/>
              <w:right w:val="single" w:sz="8" w:space="0" w:color="auto"/>
            </w:tcBorders>
            <w:vAlign w:val="center"/>
          </w:tcPr>
          <w:p w:rsidR="00295FC8" w:rsidRPr="005264A2" w:rsidRDefault="00280766" w:rsidP="005264A2">
            <w:pPr>
              <w:spacing w:after="0" w:line="240" w:lineRule="auto"/>
              <w:jc w:val="center"/>
              <w:rPr>
                <w:rFonts w:ascii="Arial" w:hAnsi="Arial" w:cs="Arial"/>
                <w:color w:val="000000"/>
                <w:sz w:val="18"/>
                <w:szCs w:val="18"/>
              </w:rPr>
            </w:pPr>
            <w:r w:rsidRPr="00280766">
              <w:rPr>
                <w:rFonts w:ascii="Arial" w:hAnsi="Arial" w:cs="Arial"/>
                <w:color w:val="000000"/>
                <w:sz w:val="18"/>
                <w:szCs w:val="18"/>
              </w:rPr>
              <w:t>24</w:t>
            </w:r>
          </w:p>
        </w:tc>
      </w:tr>
    </w:tbl>
    <w:p w:rsidR="006F4150" w:rsidRDefault="00871858" w:rsidP="006F4150">
      <w:pPr>
        <w:pStyle w:val="BodyParaAfterTableFigure"/>
      </w:pPr>
      <w:r>
        <w:t xml:space="preserve">On a per customer basis, the ex ante impact estimates </w:t>
      </w:r>
      <w:r w:rsidR="00957435">
        <w:t xml:space="preserve">for SmartRate-only customers </w:t>
      </w:r>
      <w:r>
        <w:t xml:space="preserve">are similar to those from the 2011 evaluation.  For example, for SmartRate-only customers, the July 1-in-10 per customer value in 2011 was 0.27, while it is 0.29 here.  The other monthly ex ante values are </w:t>
      </w:r>
      <w:r w:rsidR="0068553C">
        <w:t>also</w:t>
      </w:r>
      <w:r>
        <w:t xml:space="preserve"> close.  </w:t>
      </w:r>
      <w:r w:rsidR="00957435">
        <w:t xml:space="preserve">On the other hand, dually-enrolled per customer impacts are lower than in last year’s evaluation.  Although not directly reported, last year’s evaluation implied a per customer impact of </w:t>
      </w:r>
      <w:r w:rsidR="0068553C">
        <w:t xml:space="preserve">about </w:t>
      </w:r>
      <w:r w:rsidR="00957435">
        <w:t>0.78 kW f</w:t>
      </w:r>
      <w:r w:rsidR="0068553C">
        <w:t>o</w:t>
      </w:r>
      <w:r w:rsidR="00957435">
        <w:t xml:space="preserve">r a typical event day for dually-enrolled customers, while here it is 0.51 kW.  The dually-enrolled population has expanded by a factor of about </w:t>
      </w:r>
      <w:r w:rsidR="0068553C">
        <w:t>4-</w:t>
      </w:r>
      <w:r w:rsidR="00957435">
        <w:t>5 in that time so it is not surprising that the impact estimates differ between the two years.  In this year’s SmartAC evaluation</w:t>
      </w:r>
      <w:r w:rsidR="002B5283">
        <w:rPr>
          <w:rStyle w:val="FootnoteReference"/>
        </w:rPr>
        <w:footnoteReference w:id="29"/>
      </w:r>
      <w:r w:rsidR="00957435">
        <w:t xml:space="preserve">, we find </w:t>
      </w:r>
      <w:r w:rsidR="00957435">
        <w:lastRenderedPageBreak/>
        <w:t>evidence that the dually-enrolled population tends to have lower usage than the typical SmartAC customer.  If the newly dually-enrolled population tends to be low users, then this would explain the per customer load impact reductions for this group.</w:t>
      </w:r>
    </w:p>
    <w:p w:rsidR="00957435" w:rsidRPr="00957435" w:rsidRDefault="00957435" w:rsidP="00957435">
      <w:pPr>
        <w:pStyle w:val="BodyParagraph"/>
      </w:pPr>
      <w:r>
        <w:t xml:space="preserve">On an aggregate basis, this program is expected to provide quite a bit more load impact than in the 2011 evaluation.  </w:t>
      </w:r>
      <w:r w:rsidR="002B5283">
        <w:t xml:space="preserve"> For example, under typical event conditions in a 1-in-10 year, last ye</w:t>
      </w:r>
      <w:r w:rsidR="0068553C">
        <w:t>ar’s forecast was for 12</w:t>
      </w:r>
      <w:r w:rsidR="002B5283">
        <w:t xml:space="preserve"> MW of demand response.  This year that value is 31 MW.  This is due to the expansion of the population.</w:t>
      </w:r>
    </w:p>
    <w:p w:rsidR="006F4150" w:rsidRPr="006F4150" w:rsidRDefault="005264A2" w:rsidP="006F4150">
      <w:pPr>
        <w:pStyle w:val="BodyParagraph"/>
      </w:pPr>
      <w:r>
        <w:t xml:space="preserve">The values in Table 5-4 are program specific.  They are a forecast of what would happen if SmartRate was called alone.  If a SmartAC event happens concurrently, then for the sake of reporting portfolio-adjusted impacts, we must decide how to allocate impacts between SmartAC and SmartRate for dually-enrolled customers.  We do not report portfolio-adjusted impacts here, but in the excel tables that accompany this report, portfolio-adjusted impacts </w:t>
      </w:r>
      <w:r w:rsidR="002C2C20">
        <w:t xml:space="preserve">of the dually-enrolled customers are the impacts of the dually-enrolled customers in excess of their impacts under SmartAC. That is, we attribute </w:t>
      </w:r>
      <w:r>
        <w:t xml:space="preserve">to SmartAC the full value of </w:t>
      </w:r>
      <w:r w:rsidR="00FC5D0A">
        <w:t>program</w:t>
      </w:r>
      <w:r w:rsidR="00FC5D0A">
        <w:t>-</w:t>
      </w:r>
      <w:r>
        <w:t xml:space="preserve">specific ex ante impacts for dually-enrolled customers and then </w:t>
      </w:r>
      <w:r w:rsidR="00FC5D0A">
        <w:t>attribut</w:t>
      </w:r>
      <w:r w:rsidR="00FC5D0A">
        <w:t>e</w:t>
      </w:r>
      <w:r w:rsidR="00FC5D0A">
        <w:t xml:space="preserve"> </w:t>
      </w:r>
      <w:r>
        <w:t>the remainder to SmartRate.  Little event data was available for determining program-specific SmartAC impact estimates for dually-enrolled customers,</w:t>
      </w:r>
      <w:r w:rsidR="002417E6">
        <w:rPr>
          <w:rStyle w:val="FootnoteReference"/>
        </w:rPr>
        <w:footnoteReference w:id="30"/>
      </w:r>
      <w:r>
        <w:t xml:space="preserve"> with the consequence that under some event conditions program-specific SmartRate impacts for these customers are lower than their program specific SmartAC impacts. It is highly implausible </w:t>
      </w:r>
      <w:bookmarkStart w:id="70" w:name="_GoBack"/>
      <w:bookmarkEnd w:id="70"/>
      <w:r>
        <w:t>that this would actually occur (dually-enrolled customers automatically have their ACs controlled during a SmartRate event so for this to occur they would have to respond to the SmartRate event by increasing other loads) so in this case, the portfolio-adjusted impacts for SmartRate for dually-enrolled customers have been set to zero.</w:t>
      </w:r>
    </w:p>
    <w:p w:rsidR="00562A90" w:rsidRPr="00612923" w:rsidRDefault="00562A90" w:rsidP="00562A90">
      <w:pPr>
        <w:pStyle w:val="BodyParagraph"/>
      </w:pPr>
    </w:p>
    <w:p w:rsidR="00562A90" w:rsidRPr="00612923" w:rsidRDefault="00562A90" w:rsidP="00562A90">
      <w:pPr>
        <w:spacing w:after="0" w:line="240" w:lineRule="auto"/>
        <w:rPr>
          <w:rFonts w:ascii="Arial Bold" w:hAnsi="Arial Bold"/>
          <w:b/>
          <w:color w:val="433B67"/>
          <w:sz w:val="28"/>
          <w:szCs w:val="28"/>
        </w:rPr>
      </w:pPr>
      <w:r w:rsidRPr="00612923">
        <w:br w:type="page"/>
      </w:r>
    </w:p>
    <w:p w:rsidR="00FD127A" w:rsidRPr="00612923" w:rsidRDefault="00FD127A" w:rsidP="001E1C41">
      <w:pPr>
        <w:pStyle w:val="Heading1"/>
      </w:pPr>
      <w:bookmarkStart w:id="71" w:name="_Toc349193901"/>
      <w:bookmarkStart w:id="72" w:name="_Toc352567314"/>
      <w:r w:rsidRPr="00612923">
        <w:lastRenderedPageBreak/>
        <w:t>TOU Ex Post Evaluation Methodology</w:t>
      </w:r>
      <w:bookmarkEnd w:id="71"/>
      <w:bookmarkEnd w:id="72"/>
    </w:p>
    <w:p w:rsidR="00FD127A" w:rsidRPr="00612923" w:rsidRDefault="00FD127A" w:rsidP="00FD127A">
      <w:pPr>
        <w:pStyle w:val="BodyParagraph"/>
      </w:pPr>
      <w:r w:rsidRPr="00612923">
        <w:t xml:space="preserve">This section describes the control group selection and analysis methods used to estimate E-6 and E-7 load impacts.  As noted earlier, the analysis excludes net-metered customers because they likely have solar panels (and are already accounted for in the evaluation of solar programs).  In addition, the evaluation does not produce separate load impact estimates for E-6 customers.  </w:t>
      </w:r>
      <w:r w:rsidR="007C3A6C" w:rsidRPr="00612923">
        <w:t>A large fraction</w:t>
      </w:r>
      <w:r w:rsidRPr="00612923">
        <w:t xml:space="preserve"> of E-</w:t>
      </w:r>
      <w:r w:rsidR="000A25EF" w:rsidRPr="00612923">
        <w:t>6 customers are net metered and</w:t>
      </w:r>
      <w:r w:rsidRPr="00612923">
        <w:t xml:space="preserve"> few E-6 customers without net metering had smart meters installed for a full year.  As a result, there were not enough E-6 customers to develop a representative sample. </w:t>
      </w:r>
    </w:p>
    <w:p w:rsidR="00FD127A" w:rsidRPr="00612923" w:rsidRDefault="00FD127A" w:rsidP="00FD127A">
      <w:pPr>
        <w:pStyle w:val="BodyParagraph"/>
      </w:pPr>
      <w:r w:rsidRPr="00612923">
        <w:t>The evaluation of TOU rates is different than for event based programs</w:t>
      </w:r>
      <w:r w:rsidR="00634B58" w:rsidRPr="00612923">
        <w:t> </w:t>
      </w:r>
      <w:r w:rsidRPr="00612923">
        <w:t>and rates.  With event based programs, it is possible to repeatedly observe the behavior of participants with and without the intervention in effect.  This repeated treatment enables an assessment of whether the outcome of interest</w:t>
      </w:r>
      <w:r w:rsidR="00634B58" w:rsidRPr="00612923">
        <w:t>—</w:t>
      </w:r>
      <w:r w:rsidRPr="00612923">
        <w:t>electricity consumption</w:t>
      </w:r>
      <w:r w:rsidR="00634B58" w:rsidRPr="00612923">
        <w:t>—</w:t>
      </w:r>
      <w:r w:rsidRPr="00612923">
        <w:t xml:space="preserve">changes with the presence of the treatment.  In contrast, once a customer is enrolled on a TOU rate, it is not possible to observe their behavior absent TOU prices.  Ideally, an evaluation of TOU prices would use pre-treatment data, a control group, or preferably, both.  Pre-treatment data is useful because it introduces information about electricity use patterns under flat prices, which can then be compared to electricity use patterns for the same customers when they are on the TOU rate.  However, pre-enrollment data is not available for E-6 and E-7 customers because </w:t>
      </w:r>
      <w:r w:rsidR="000A25EF" w:rsidRPr="00612923">
        <w:t>most</w:t>
      </w:r>
      <w:r w:rsidRPr="00612923">
        <w:t xml:space="preserve"> participants enrolled prior to the installation of smart meters.  As a result, this evaluation relies solely on a control group. </w:t>
      </w:r>
    </w:p>
    <w:p w:rsidR="00FD127A" w:rsidRPr="00612923" w:rsidRDefault="00FD127A" w:rsidP="00FD127A">
      <w:pPr>
        <w:pStyle w:val="BodyParagraph"/>
      </w:pPr>
      <w:r w:rsidRPr="00612923">
        <w:t>A control group can provide information about how TOU participants would have used electricity had they not been exposed to the time-varying price signals.  However, the use of a control group does not guarantee accurate results; to eliminate alternative explanations for differences in electricity use, it is critical that the only systematic difference between the two groups is the fact that one group was exposed to TOU prices while the other group was not.  Because TOU participants self-selected onto the rates, they are different from customers on flat rates, and it becomes necessary to account for these differences.</w:t>
      </w:r>
    </w:p>
    <w:p w:rsidR="00FD127A" w:rsidRPr="00612923" w:rsidRDefault="00FD127A" w:rsidP="00FD127A">
      <w:pPr>
        <w:pStyle w:val="BodyParagraph"/>
      </w:pPr>
      <w:r w:rsidRPr="00612923">
        <w:t>In order to address this problem, the same technique used to select the SmartRate control group</w:t>
      </w:r>
      <w:r w:rsidR="00634B58" w:rsidRPr="00612923">
        <w:t>—</w:t>
      </w:r>
      <w:r w:rsidRPr="00612923">
        <w:t>propensity score matching</w:t>
      </w:r>
      <w:r w:rsidR="00634B58" w:rsidRPr="00612923">
        <w:t>—</w:t>
      </w:r>
      <w:r w:rsidRPr="00612923">
        <w:t xml:space="preserve">was used to select a TOU control group.  However, there is one key difference: for the TOU evaluation, it was not possible to match on non-event day load shapes, since TOU rates are in effect at all times.  In the absence of pre-enrollment data or a randomly assigned control group, propensity score matching is the </w:t>
      </w:r>
      <w:r w:rsidR="000A25EF" w:rsidRPr="00612923">
        <w:t>best</w:t>
      </w:r>
      <w:r w:rsidRPr="00612923">
        <w:t xml:space="preserve"> approach available.  </w:t>
      </w:r>
    </w:p>
    <w:p w:rsidR="00FD127A" w:rsidRPr="00612923" w:rsidRDefault="00FD127A" w:rsidP="00FD127A">
      <w:pPr>
        <w:pStyle w:val="BodyParagraph"/>
      </w:pPr>
      <w:r w:rsidRPr="00612923">
        <w:t xml:space="preserve">The key limitation of propensity score matching without good pre-treatment data is that it cannot eliminate the possibility that a factor not included in the selection model accounts for differences in the TOU and control group load shapes.  </w:t>
      </w:r>
    </w:p>
    <w:p w:rsidR="00FD127A" w:rsidRPr="00612923" w:rsidRDefault="00FD127A" w:rsidP="00FD127A">
      <w:pPr>
        <w:pStyle w:val="BodyParagraph"/>
      </w:pPr>
      <w:r w:rsidRPr="00612923">
        <w:t xml:space="preserve">The remainder of this section details the control group development and the weights applied to produce local capacity area estimates. </w:t>
      </w:r>
    </w:p>
    <w:p w:rsidR="00FD127A" w:rsidRPr="00612923" w:rsidRDefault="00FD127A" w:rsidP="001E1C41">
      <w:pPr>
        <w:pStyle w:val="Heading2"/>
      </w:pPr>
      <w:bookmarkStart w:id="73" w:name="_Toc289176466"/>
      <w:bookmarkStart w:id="74" w:name="_Toc289273101"/>
      <w:bookmarkStart w:id="75" w:name="_Toc319245309"/>
      <w:bookmarkStart w:id="76" w:name="_Toc349193902"/>
      <w:bookmarkStart w:id="77" w:name="_Toc352567315"/>
      <w:r w:rsidRPr="00612923">
        <w:lastRenderedPageBreak/>
        <w:t>Control Group Selection</w:t>
      </w:r>
      <w:bookmarkEnd w:id="73"/>
      <w:bookmarkEnd w:id="74"/>
      <w:bookmarkEnd w:id="75"/>
      <w:bookmarkEnd w:id="76"/>
      <w:bookmarkEnd w:id="77"/>
    </w:p>
    <w:p w:rsidR="00FD127A" w:rsidRPr="00612923" w:rsidRDefault="00FD127A" w:rsidP="00FD127A">
      <w:pPr>
        <w:pStyle w:val="BodyBeforeBullet"/>
      </w:pPr>
      <w:r w:rsidRPr="00612923">
        <w:t>As discussed in the SmartRate methods section, propensity score matching is a method for finding a control group that is similar to the TOU group across several observable characteristics.  In this case, the dimensions chosen for matching were:</w:t>
      </w:r>
      <w:r w:rsidRPr="00612923">
        <w:rPr>
          <w:rStyle w:val="FootnoteReference"/>
        </w:rPr>
        <w:footnoteReference w:id="31"/>
      </w:r>
    </w:p>
    <w:p w:rsidR="00FD127A" w:rsidRPr="00612923" w:rsidRDefault="00FD127A" w:rsidP="00FD127A">
      <w:pPr>
        <w:pStyle w:val="Bullets"/>
      </w:pPr>
      <w:r w:rsidRPr="00612923">
        <w:t>Annual usage;</w:t>
      </w:r>
    </w:p>
    <w:p w:rsidR="00FD127A" w:rsidRPr="00612923" w:rsidRDefault="00FD127A" w:rsidP="00FD127A">
      <w:pPr>
        <w:pStyle w:val="Bullets"/>
      </w:pPr>
      <w:r w:rsidRPr="00612923">
        <w:t>Summer usage;</w:t>
      </w:r>
    </w:p>
    <w:p w:rsidR="00FD127A" w:rsidRPr="00612923" w:rsidRDefault="00FD127A" w:rsidP="00FD127A">
      <w:pPr>
        <w:pStyle w:val="Bullets"/>
      </w:pPr>
      <w:r w:rsidRPr="00612923">
        <w:t>CARE status;</w:t>
      </w:r>
    </w:p>
    <w:p w:rsidR="00FD127A" w:rsidRPr="00612923" w:rsidRDefault="00FD127A" w:rsidP="00FD127A">
      <w:pPr>
        <w:pStyle w:val="Bullets"/>
      </w:pPr>
      <w:r w:rsidRPr="00612923">
        <w:t>Climate region;</w:t>
      </w:r>
    </w:p>
    <w:p w:rsidR="00FD127A" w:rsidRPr="00612923" w:rsidRDefault="00FD127A" w:rsidP="00FD127A">
      <w:pPr>
        <w:pStyle w:val="Bullets"/>
      </w:pPr>
      <w:r w:rsidRPr="00612923">
        <w:t>CAC likelihood</w:t>
      </w:r>
      <w:r w:rsidR="00634B58" w:rsidRPr="00612923">
        <w:t>;</w:t>
      </w:r>
    </w:p>
    <w:p w:rsidR="00FD127A" w:rsidRPr="00612923" w:rsidRDefault="00FD127A" w:rsidP="00FD127A">
      <w:pPr>
        <w:pStyle w:val="Bullets"/>
      </w:pPr>
      <w:r w:rsidRPr="00612923">
        <w:t>Annual usage interacted with CARE status;</w:t>
      </w:r>
    </w:p>
    <w:p w:rsidR="00FD127A" w:rsidRPr="00612923" w:rsidRDefault="00FD127A" w:rsidP="00FD127A">
      <w:pPr>
        <w:pStyle w:val="Bullets"/>
      </w:pPr>
      <w:r w:rsidRPr="00612923">
        <w:t>Annual usage interacted with CAC likelihood;</w:t>
      </w:r>
    </w:p>
    <w:p w:rsidR="00FD127A" w:rsidRPr="00612923" w:rsidRDefault="00FD127A" w:rsidP="00FD127A">
      <w:pPr>
        <w:pStyle w:val="Bullets"/>
      </w:pPr>
      <w:r w:rsidRPr="00612923">
        <w:t>CARE status interacted with all electric status;</w:t>
      </w:r>
    </w:p>
    <w:p w:rsidR="00FD127A" w:rsidRPr="00612923" w:rsidRDefault="00FD127A" w:rsidP="00FD127A">
      <w:pPr>
        <w:pStyle w:val="Bullets"/>
      </w:pPr>
      <w:r w:rsidRPr="00612923">
        <w:t>CARE status interacted with CAC likelihood;</w:t>
      </w:r>
      <w:r w:rsidR="00634B58" w:rsidRPr="00612923">
        <w:t xml:space="preserve"> and</w:t>
      </w:r>
    </w:p>
    <w:p w:rsidR="00FD127A" w:rsidRPr="00612923" w:rsidRDefault="00FD127A" w:rsidP="00FD127A">
      <w:pPr>
        <w:pStyle w:val="BulletLast"/>
      </w:pPr>
      <w:r w:rsidRPr="00612923">
        <w:t>Ratio of usage in July and August compared to usage in March and April.</w:t>
      </w:r>
    </w:p>
    <w:p w:rsidR="00FD127A" w:rsidRPr="00612923" w:rsidRDefault="00FD127A" w:rsidP="00FD127A">
      <w:pPr>
        <w:pStyle w:val="BodyParagraph"/>
      </w:pPr>
      <w:r w:rsidRPr="00612923">
        <w:t>Because of the limited number of E-6 and E-7 customers with a full year of smart meter data (</w:t>
      </w:r>
      <w:r w:rsidR="008928C9" w:rsidRPr="00612923">
        <w:t>4% of E-6 and 23% of E-7</w:t>
      </w:r>
      <w:r w:rsidRPr="00612923">
        <w:t xml:space="preserve">), a two-stage matching process was required.  First, TOU customers with smart meters were matched to the </w:t>
      </w:r>
      <w:r w:rsidR="000A25EF" w:rsidRPr="00612923">
        <w:t xml:space="preserve">full </w:t>
      </w:r>
      <w:r w:rsidRPr="00612923">
        <w:t>TOU population so that those with smart meter data were representative of the overall participant population.  This produced a representative sample of about 3,000 TOU customers with smart meter data.  Then a control group was chosen from the E-1 population to match the TOU matched group.</w:t>
      </w:r>
      <w:r w:rsidR="007C3A6C" w:rsidRPr="00612923">
        <w:t xml:space="preserve"> </w:t>
      </w:r>
      <w:r w:rsidRPr="00612923">
        <w:t xml:space="preserve"> Table 6-1 compares the representative sample of TOU customers with smart meter data to the matched control group.  The participant and control groups are comparable across the observable metrics</w:t>
      </w:r>
      <w:r w:rsidR="000A25EF" w:rsidRPr="00612923">
        <w:t>, although the average annual usage and summer usage of the control group is notably larger, which suggests the possibility of an upward bias in the impact estimates.</w:t>
      </w:r>
      <w:r w:rsidRPr="00612923">
        <w:t xml:space="preserve"> </w:t>
      </w:r>
    </w:p>
    <w:p w:rsidR="00FD127A" w:rsidRPr="00612923" w:rsidRDefault="00FD127A" w:rsidP="007C3A6C">
      <w:pPr>
        <w:pStyle w:val="TableFigureCaption"/>
      </w:pPr>
      <w:r w:rsidRPr="00612923">
        <w:lastRenderedPageBreak/>
        <w:t>Table 6-1: Comparison of TOU Sample to TOU Population</w:t>
      </w:r>
    </w:p>
    <w:tbl>
      <w:tblPr>
        <w:tblW w:w="6495" w:type="dxa"/>
        <w:jc w:val="center"/>
        <w:tblInd w:w="93" w:type="dxa"/>
        <w:tblLook w:val="04A0"/>
      </w:tblPr>
      <w:tblGrid>
        <w:gridCol w:w="3705"/>
        <w:gridCol w:w="1350"/>
        <w:gridCol w:w="1440"/>
      </w:tblGrid>
      <w:tr w:rsidR="001E1C41" w:rsidRPr="00612923" w:rsidTr="00364C9D">
        <w:trPr>
          <w:trHeight w:val="780"/>
          <w:jc w:val="center"/>
        </w:trPr>
        <w:tc>
          <w:tcPr>
            <w:tcW w:w="3705" w:type="dxa"/>
            <w:tcBorders>
              <w:top w:val="single" w:sz="8" w:space="0" w:color="auto"/>
              <w:left w:val="single" w:sz="8" w:space="0" w:color="auto"/>
              <w:bottom w:val="nil"/>
              <w:right w:val="single" w:sz="8" w:space="0" w:color="FFFFFF"/>
            </w:tcBorders>
            <w:shd w:val="clear" w:color="000000" w:fill="1F497D"/>
            <w:noWrap/>
            <w:vAlign w:val="center"/>
            <w:hideMark/>
          </w:tcPr>
          <w:p w:rsidR="001E1C41" w:rsidRPr="00612923" w:rsidRDefault="001E1C41" w:rsidP="007C3A6C">
            <w:pPr>
              <w:pStyle w:val="TableHeader"/>
              <w:keepNext/>
            </w:pPr>
            <w:r w:rsidRPr="00612923">
              <w:t>Characteristic</w:t>
            </w:r>
          </w:p>
        </w:tc>
        <w:tc>
          <w:tcPr>
            <w:tcW w:w="1350" w:type="dxa"/>
            <w:tcBorders>
              <w:top w:val="single" w:sz="8" w:space="0" w:color="auto"/>
              <w:left w:val="single" w:sz="8" w:space="0" w:color="FFFFFF"/>
              <w:bottom w:val="nil"/>
              <w:right w:val="single" w:sz="8" w:space="0" w:color="FFFFFF"/>
            </w:tcBorders>
            <w:shd w:val="clear" w:color="000000" w:fill="1F497D"/>
            <w:vAlign w:val="center"/>
            <w:hideMark/>
          </w:tcPr>
          <w:p w:rsidR="001E1C41" w:rsidRPr="00612923" w:rsidRDefault="001E1C41" w:rsidP="007C3A6C">
            <w:pPr>
              <w:pStyle w:val="TableHeader"/>
              <w:keepNext/>
            </w:pPr>
            <w:r w:rsidRPr="00612923">
              <w:t>E6 &amp; E7 with SM</w:t>
            </w:r>
          </w:p>
        </w:tc>
        <w:tc>
          <w:tcPr>
            <w:tcW w:w="1440" w:type="dxa"/>
            <w:tcBorders>
              <w:top w:val="single" w:sz="8" w:space="0" w:color="auto"/>
              <w:left w:val="nil"/>
              <w:right w:val="single" w:sz="8" w:space="0" w:color="auto"/>
            </w:tcBorders>
            <w:shd w:val="clear" w:color="000000" w:fill="1F497D"/>
            <w:vAlign w:val="center"/>
            <w:hideMark/>
          </w:tcPr>
          <w:p w:rsidR="001E1C41" w:rsidRPr="00612923" w:rsidRDefault="001E1C41" w:rsidP="007C3A6C">
            <w:pPr>
              <w:pStyle w:val="TableHeader"/>
              <w:keepNext/>
            </w:pPr>
            <w:r w:rsidRPr="00612923">
              <w:t>E-1</w:t>
            </w:r>
          </w:p>
          <w:p w:rsidR="001E1C41" w:rsidRPr="00612923" w:rsidRDefault="001E1C41" w:rsidP="007C3A6C">
            <w:pPr>
              <w:pStyle w:val="TableHeader"/>
              <w:keepNext/>
            </w:pPr>
            <w:r w:rsidRPr="00612923">
              <w:t>Control Group</w:t>
            </w:r>
          </w:p>
        </w:tc>
      </w:tr>
      <w:tr w:rsidR="00FD127A" w:rsidRPr="00612923" w:rsidTr="00FD127A">
        <w:trPr>
          <w:trHeight w:val="300"/>
          <w:jc w:val="center"/>
        </w:trPr>
        <w:tc>
          <w:tcPr>
            <w:tcW w:w="370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jc w:val="left"/>
            </w:pPr>
            <w:r w:rsidRPr="00612923">
              <w:t>Number of Customers</w:t>
            </w:r>
          </w:p>
        </w:tc>
        <w:tc>
          <w:tcPr>
            <w:tcW w:w="1350" w:type="dxa"/>
            <w:tcBorders>
              <w:top w:val="single" w:sz="4" w:space="0" w:color="auto"/>
              <w:left w:val="nil"/>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pPr>
            <w:r w:rsidRPr="00612923">
              <w:t>3,019</w:t>
            </w:r>
          </w:p>
        </w:tc>
        <w:tc>
          <w:tcPr>
            <w:tcW w:w="1440" w:type="dxa"/>
            <w:tcBorders>
              <w:top w:val="single" w:sz="4" w:space="0" w:color="auto"/>
              <w:left w:val="nil"/>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pPr>
            <w:r w:rsidRPr="00612923">
              <w:t>1,978</w:t>
            </w:r>
          </w:p>
        </w:tc>
      </w:tr>
      <w:tr w:rsidR="00FD127A" w:rsidRPr="00612923" w:rsidTr="00FD127A">
        <w:trPr>
          <w:trHeight w:val="300"/>
          <w:jc w:val="center"/>
        </w:trPr>
        <w:tc>
          <w:tcPr>
            <w:tcW w:w="3705" w:type="dxa"/>
            <w:tcBorders>
              <w:top w:val="nil"/>
              <w:left w:val="single" w:sz="4" w:space="0" w:color="auto"/>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jc w:val="left"/>
            </w:pPr>
            <w:r w:rsidRPr="00612923">
              <w:t>Annual usage (kWh)</w:t>
            </w:r>
          </w:p>
        </w:tc>
        <w:tc>
          <w:tcPr>
            <w:tcW w:w="135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pPr>
            <w:r w:rsidRPr="00612923">
              <w:t>7884</w:t>
            </w:r>
          </w:p>
        </w:tc>
        <w:tc>
          <w:tcPr>
            <w:tcW w:w="144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pPr>
            <w:r w:rsidRPr="00612923">
              <w:t>8338</w:t>
            </w:r>
          </w:p>
        </w:tc>
      </w:tr>
      <w:tr w:rsidR="00FD127A" w:rsidRPr="00612923" w:rsidTr="00FD127A">
        <w:trPr>
          <w:trHeight w:val="300"/>
          <w:jc w:val="center"/>
        </w:trPr>
        <w:tc>
          <w:tcPr>
            <w:tcW w:w="3705" w:type="dxa"/>
            <w:tcBorders>
              <w:top w:val="nil"/>
              <w:left w:val="single" w:sz="4" w:space="0" w:color="auto"/>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jc w:val="left"/>
            </w:pPr>
            <w:r w:rsidRPr="00612923">
              <w:t>Summer usage (Jun-Sep)</w:t>
            </w:r>
          </w:p>
        </w:tc>
        <w:tc>
          <w:tcPr>
            <w:tcW w:w="135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pPr>
            <w:r w:rsidRPr="00612923">
              <w:t>2250</w:t>
            </w:r>
          </w:p>
        </w:tc>
        <w:tc>
          <w:tcPr>
            <w:tcW w:w="144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pPr>
            <w:r w:rsidRPr="00612923">
              <w:t>2418</w:t>
            </w:r>
          </w:p>
        </w:tc>
      </w:tr>
      <w:tr w:rsidR="00FD127A" w:rsidRPr="00612923" w:rsidTr="00FD127A">
        <w:trPr>
          <w:trHeight w:val="300"/>
          <w:jc w:val="center"/>
        </w:trPr>
        <w:tc>
          <w:tcPr>
            <w:tcW w:w="3705" w:type="dxa"/>
            <w:tcBorders>
              <w:top w:val="nil"/>
              <w:left w:val="single" w:sz="4" w:space="0" w:color="auto"/>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jc w:val="left"/>
            </w:pPr>
            <w:r w:rsidRPr="00612923">
              <w:t>Ratio of summer (Jun-July) to shoulder month (Mar-Apr) usage</w:t>
            </w:r>
          </w:p>
        </w:tc>
        <w:tc>
          <w:tcPr>
            <w:tcW w:w="135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pPr>
            <w:r w:rsidRPr="00612923">
              <w:t>0.78</w:t>
            </w:r>
          </w:p>
        </w:tc>
        <w:tc>
          <w:tcPr>
            <w:tcW w:w="1440" w:type="dxa"/>
            <w:tcBorders>
              <w:top w:val="nil"/>
              <w:left w:val="nil"/>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pPr>
            <w:r w:rsidRPr="00612923">
              <w:t>0.77</w:t>
            </w:r>
          </w:p>
        </w:tc>
      </w:tr>
      <w:tr w:rsidR="00FD127A" w:rsidRPr="00612923" w:rsidTr="00FD127A">
        <w:trPr>
          <w:trHeight w:val="300"/>
          <w:jc w:val="center"/>
        </w:trPr>
        <w:tc>
          <w:tcPr>
            <w:tcW w:w="3705" w:type="dxa"/>
            <w:tcBorders>
              <w:top w:val="nil"/>
              <w:left w:val="single" w:sz="4" w:space="0" w:color="auto"/>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jc w:val="left"/>
            </w:pPr>
            <w:r w:rsidRPr="00612923">
              <w:t>CARE</w:t>
            </w:r>
          </w:p>
        </w:tc>
        <w:tc>
          <w:tcPr>
            <w:tcW w:w="1350" w:type="dxa"/>
            <w:tcBorders>
              <w:top w:val="nil"/>
              <w:left w:val="nil"/>
              <w:bottom w:val="single" w:sz="4" w:space="0" w:color="auto"/>
              <w:right w:val="single" w:sz="4" w:space="0" w:color="auto"/>
            </w:tcBorders>
            <w:shd w:val="clear" w:color="000000" w:fill="FFFFFF"/>
            <w:noWrap/>
            <w:vAlign w:val="center"/>
            <w:hideMark/>
          </w:tcPr>
          <w:p w:rsidR="00FD127A" w:rsidRPr="00612923" w:rsidRDefault="007C3A6C" w:rsidP="007C3A6C">
            <w:pPr>
              <w:pStyle w:val="TableText"/>
              <w:keepNext/>
            </w:pPr>
            <w:r w:rsidRPr="00612923">
              <w:t>11</w:t>
            </w:r>
            <w:r w:rsidR="00FD127A" w:rsidRPr="00612923">
              <w:t>%</w:t>
            </w:r>
          </w:p>
        </w:tc>
        <w:tc>
          <w:tcPr>
            <w:tcW w:w="1440" w:type="dxa"/>
            <w:tcBorders>
              <w:top w:val="nil"/>
              <w:left w:val="nil"/>
              <w:bottom w:val="single" w:sz="4" w:space="0" w:color="auto"/>
              <w:right w:val="single" w:sz="4" w:space="0" w:color="auto"/>
            </w:tcBorders>
            <w:shd w:val="clear" w:color="000000" w:fill="FFFFFF"/>
            <w:noWrap/>
            <w:vAlign w:val="center"/>
            <w:hideMark/>
          </w:tcPr>
          <w:p w:rsidR="00FD127A" w:rsidRPr="00612923" w:rsidRDefault="007C3A6C" w:rsidP="007C3A6C">
            <w:pPr>
              <w:pStyle w:val="TableText"/>
              <w:keepNext/>
            </w:pPr>
            <w:r w:rsidRPr="00612923">
              <w:t>10</w:t>
            </w:r>
            <w:r w:rsidR="00FD127A" w:rsidRPr="00612923">
              <w:t>%</w:t>
            </w:r>
          </w:p>
        </w:tc>
      </w:tr>
      <w:tr w:rsidR="00FD127A" w:rsidRPr="00612923" w:rsidTr="00FD127A">
        <w:trPr>
          <w:trHeight w:val="300"/>
          <w:jc w:val="center"/>
        </w:trPr>
        <w:tc>
          <w:tcPr>
            <w:tcW w:w="3705" w:type="dxa"/>
            <w:tcBorders>
              <w:top w:val="nil"/>
              <w:left w:val="single" w:sz="4" w:space="0" w:color="auto"/>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jc w:val="left"/>
            </w:pPr>
            <w:r w:rsidRPr="00612923">
              <w:t>Percent all electric customers</w:t>
            </w:r>
          </w:p>
        </w:tc>
        <w:tc>
          <w:tcPr>
            <w:tcW w:w="1350" w:type="dxa"/>
            <w:tcBorders>
              <w:top w:val="nil"/>
              <w:left w:val="nil"/>
              <w:bottom w:val="nil"/>
              <w:right w:val="nil"/>
            </w:tcBorders>
            <w:shd w:val="clear" w:color="auto" w:fill="auto"/>
            <w:noWrap/>
            <w:vAlign w:val="center"/>
            <w:hideMark/>
          </w:tcPr>
          <w:p w:rsidR="00FD127A" w:rsidRPr="00612923" w:rsidRDefault="007C3A6C" w:rsidP="007C3A6C">
            <w:pPr>
              <w:pStyle w:val="TableText"/>
              <w:keepNext/>
            </w:pPr>
            <w:r w:rsidRPr="00612923">
              <w:t>27</w:t>
            </w:r>
            <w:r w:rsidR="00FD127A" w:rsidRPr="00612923">
              <w:t>%</w:t>
            </w:r>
          </w:p>
        </w:tc>
        <w:tc>
          <w:tcPr>
            <w:tcW w:w="1440" w:type="dxa"/>
            <w:tcBorders>
              <w:top w:val="nil"/>
              <w:left w:val="single" w:sz="4" w:space="0" w:color="auto"/>
              <w:bottom w:val="single" w:sz="4" w:space="0" w:color="auto"/>
              <w:right w:val="single" w:sz="4" w:space="0" w:color="auto"/>
            </w:tcBorders>
            <w:shd w:val="clear" w:color="000000" w:fill="FFFFFF"/>
            <w:noWrap/>
            <w:vAlign w:val="center"/>
            <w:hideMark/>
          </w:tcPr>
          <w:p w:rsidR="00FD127A" w:rsidRPr="00612923" w:rsidRDefault="007C3A6C" w:rsidP="007C3A6C">
            <w:pPr>
              <w:pStyle w:val="TableText"/>
              <w:keepNext/>
            </w:pPr>
            <w:r w:rsidRPr="00612923">
              <w:t>25</w:t>
            </w:r>
            <w:r w:rsidR="00FD127A" w:rsidRPr="00612923">
              <w:t>%</w:t>
            </w:r>
          </w:p>
        </w:tc>
      </w:tr>
      <w:tr w:rsidR="00FD127A" w:rsidRPr="00612923" w:rsidTr="00FD127A">
        <w:trPr>
          <w:trHeight w:val="300"/>
          <w:jc w:val="center"/>
        </w:trPr>
        <w:tc>
          <w:tcPr>
            <w:tcW w:w="3705" w:type="dxa"/>
            <w:tcBorders>
              <w:top w:val="nil"/>
              <w:left w:val="single" w:sz="4" w:space="0" w:color="auto"/>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jc w:val="left"/>
            </w:pPr>
            <w:r w:rsidRPr="00612923">
              <w:t>Climate Zone R (e.g., Fresno)</w:t>
            </w:r>
          </w:p>
        </w:tc>
        <w:tc>
          <w:tcPr>
            <w:tcW w:w="1350" w:type="dxa"/>
            <w:tcBorders>
              <w:top w:val="single" w:sz="4" w:space="0" w:color="auto"/>
              <w:left w:val="nil"/>
              <w:bottom w:val="single" w:sz="4" w:space="0" w:color="auto"/>
              <w:right w:val="single" w:sz="4" w:space="0" w:color="auto"/>
            </w:tcBorders>
            <w:shd w:val="clear" w:color="000000" w:fill="FFFFFF"/>
            <w:noWrap/>
            <w:vAlign w:val="center"/>
            <w:hideMark/>
          </w:tcPr>
          <w:p w:rsidR="00FD127A" w:rsidRPr="00612923" w:rsidRDefault="007C3A6C" w:rsidP="007C3A6C">
            <w:pPr>
              <w:pStyle w:val="TableText"/>
              <w:keepNext/>
            </w:pPr>
            <w:r w:rsidRPr="00612923">
              <w:t>17</w:t>
            </w:r>
            <w:r w:rsidR="00FD127A" w:rsidRPr="00612923">
              <w:t>%</w:t>
            </w:r>
          </w:p>
        </w:tc>
        <w:tc>
          <w:tcPr>
            <w:tcW w:w="1440" w:type="dxa"/>
            <w:tcBorders>
              <w:top w:val="nil"/>
              <w:left w:val="nil"/>
              <w:bottom w:val="single" w:sz="4" w:space="0" w:color="auto"/>
              <w:right w:val="single" w:sz="4" w:space="0" w:color="auto"/>
            </w:tcBorders>
            <w:shd w:val="clear" w:color="000000" w:fill="FFFFFF"/>
            <w:noWrap/>
            <w:vAlign w:val="center"/>
            <w:hideMark/>
          </w:tcPr>
          <w:p w:rsidR="00FD127A" w:rsidRPr="00612923" w:rsidRDefault="007C3A6C" w:rsidP="007C3A6C">
            <w:pPr>
              <w:pStyle w:val="TableText"/>
              <w:keepNext/>
            </w:pPr>
            <w:r w:rsidRPr="00612923">
              <w:t>17</w:t>
            </w:r>
            <w:r w:rsidR="00FD127A" w:rsidRPr="00612923">
              <w:t>%</w:t>
            </w:r>
          </w:p>
        </w:tc>
      </w:tr>
      <w:tr w:rsidR="00FD127A" w:rsidRPr="00612923" w:rsidTr="00FD127A">
        <w:trPr>
          <w:trHeight w:val="300"/>
          <w:jc w:val="center"/>
        </w:trPr>
        <w:tc>
          <w:tcPr>
            <w:tcW w:w="3705" w:type="dxa"/>
            <w:tcBorders>
              <w:top w:val="nil"/>
              <w:left w:val="single" w:sz="4" w:space="0" w:color="auto"/>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jc w:val="left"/>
            </w:pPr>
            <w:r w:rsidRPr="00612923">
              <w:t>Climate Zone S  (e.g., Stockton/Sacramento)</w:t>
            </w:r>
          </w:p>
        </w:tc>
        <w:tc>
          <w:tcPr>
            <w:tcW w:w="1350" w:type="dxa"/>
            <w:tcBorders>
              <w:top w:val="nil"/>
              <w:left w:val="nil"/>
              <w:bottom w:val="single" w:sz="4" w:space="0" w:color="auto"/>
              <w:right w:val="single" w:sz="4" w:space="0" w:color="auto"/>
            </w:tcBorders>
            <w:shd w:val="clear" w:color="000000" w:fill="FFFFFF"/>
            <w:noWrap/>
            <w:vAlign w:val="center"/>
            <w:hideMark/>
          </w:tcPr>
          <w:p w:rsidR="00FD127A" w:rsidRPr="00612923" w:rsidRDefault="007C3A6C" w:rsidP="007C3A6C">
            <w:pPr>
              <w:pStyle w:val="TableText"/>
              <w:keepNext/>
            </w:pPr>
            <w:r w:rsidRPr="00612923">
              <w:t>21</w:t>
            </w:r>
            <w:r w:rsidR="00FD127A" w:rsidRPr="00612923">
              <w:t>%</w:t>
            </w:r>
          </w:p>
        </w:tc>
        <w:tc>
          <w:tcPr>
            <w:tcW w:w="1440" w:type="dxa"/>
            <w:tcBorders>
              <w:top w:val="nil"/>
              <w:left w:val="nil"/>
              <w:bottom w:val="single" w:sz="4" w:space="0" w:color="auto"/>
              <w:right w:val="single" w:sz="4" w:space="0" w:color="auto"/>
            </w:tcBorders>
            <w:shd w:val="clear" w:color="000000" w:fill="FFFFFF"/>
            <w:noWrap/>
            <w:vAlign w:val="center"/>
            <w:hideMark/>
          </w:tcPr>
          <w:p w:rsidR="00FD127A" w:rsidRPr="00612923" w:rsidRDefault="007C3A6C" w:rsidP="007C3A6C">
            <w:pPr>
              <w:pStyle w:val="TableText"/>
              <w:keepNext/>
            </w:pPr>
            <w:r w:rsidRPr="00612923">
              <w:t>23</w:t>
            </w:r>
            <w:r w:rsidR="00FD127A" w:rsidRPr="00612923">
              <w:t>%</w:t>
            </w:r>
          </w:p>
        </w:tc>
      </w:tr>
      <w:tr w:rsidR="00FD127A" w:rsidRPr="00612923" w:rsidTr="00FD127A">
        <w:trPr>
          <w:trHeight w:val="300"/>
          <w:jc w:val="center"/>
        </w:trPr>
        <w:tc>
          <w:tcPr>
            <w:tcW w:w="3705" w:type="dxa"/>
            <w:tcBorders>
              <w:top w:val="nil"/>
              <w:left w:val="single" w:sz="4" w:space="0" w:color="auto"/>
              <w:bottom w:val="single" w:sz="4" w:space="0" w:color="auto"/>
              <w:right w:val="single" w:sz="4" w:space="0" w:color="auto"/>
            </w:tcBorders>
            <w:shd w:val="clear" w:color="000000" w:fill="FFFFFF"/>
            <w:noWrap/>
            <w:vAlign w:val="center"/>
            <w:hideMark/>
          </w:tcPr>
          <w:p w:rsidR="00FD127A" w:rsidRPr="00612923" w:rsidRDefault="00FD127A" w:rsidP="007C3A6C">
            <w:pPr>
              <w:pStyle w:val="TableText"/>
              <w:keepNext/>
              <w:jc w:val="left"/>
            </w:pPr>
            <w:r w:rsidRPr="00612923">
              <w:t>Climate Zone T  (Coastal)</w:t>
            </w:r>
          </w:p>
        </w:tc>
        <w:tc>
          <w:tcPr>
            <w:tcW w:w="1350" w:type="dxa"/>
            <w:tcBorders>
              <w:top w:val="nil"/>
              <w:left w:val="nil"/>
              <w:bottom w:val="single" w:sz="4" w:space="0" w:color="auto"/>
              <w:right w:val="single" w:sz="4" w:space="0" w:color="auto"/>
            </w:tcBorders>
            <w:shd w:val="clear" w:color="000000" w:fill="FFFFFF"/>
            <w:noWrap/>
            <w:vAlign w:val="center"/>
            <w:hideMark/>
          </w:tcPr>
          <w:p w:rsidR="00FD127A" w:rsidRPr="00612923" w:rsidRDefault="007C3A6C" w:rsidP="007C3A6C">
            <w:pPr>
              <w:pStyle w:val="TableText"/>
              <w:keepNext/>
            </w:pPr>
            <w:r w:rsidRPr="00612923">
              <w:t>17</w:t>
            </w:r>
            <w:r w:rsidR="00FD127A" w:rsidRPr="00612923">
              <w:t>%</w:t>
            </w:r>
          </w:p>
        </w:tc>
        <w:tc>
          <w:tcPr>
            <w:tcW w:w="1440" w:type="dxa"/>
            <w:tcBorders>
              <w:top w:val="nil"/>
              <w:left w:val="nil"/>
              <w:bottom w:val="single" w:sz="4" w:space="0" w:color="auto"/>
              <w:right w:val="single" w:sz="4" w:space="0" w:color="auto"/>
            </w:tcBorders>
            <w:shd w:val="clear" w:color="000000" w:fill="FFFFFF"/>
            <w:noWrap/>
            <w:vAlign w:val="center"/>
            <w:hideMark/>
          </w:tcPr>
          <w:p w:rsidR="00FD127A" w:rsidRPr="00612923" w:rsidRDefault="007C3A6C" w:rsidP="007C3A6C">
            <w:pPr>
              <w:pStyle w:val="TableText"/>
              <w:keepNext/>
            </w:pPr>
            <w:r w:rsidRPr="00612923">
              <w:t>16</w:t>
            </w:r>
            <w:r w:rsidR="00FD127A" w:rsidRPr="00612923">
              <w:t>%</w:t>
            </w:r>
          </w:p>
        </w:tc>
      </w:tr>
      <w:tr w:rsidR="00FD127A" w:rsidRPr="00612923" w:rsidTr="00FD127A">
        <w:trPr>
          <w:trHeight w:val="300"/>
          <w:jc w:val="center"/>
        </w:trPr>
        <w:tc>
          <w:tcPr>
            <w:tcW w:w="3705" w:type="dxa"/>
            <w:tcBorders>
              <w:top w:val="nil"/>
              <w:left w:val="single" w:sz="4" w:space="0" w:color="auto"/>
              <w:bottom w:val="single" w:sz="4" w:space="0" w:color="auto"/>
              <w:right w:val="single" w:sz="4" w:space="0" w:color="auto"/>
            </w:tcBorders>
            <w:shd w:val="clear" w:color="000000" w:fill="FFFFFF"/>
            <w:noWrap/>
            <w:vAlign w:val="center"/>
            <w:hideMark/>
          </w:tcPr>
          <w:p w:rsidR="00FD127A" w:rsidRPr="00612923" w:rsidRDefault="00FD127A" w:rsidP="001E1C41">
            <w:pPr>
              <w:pStyle w:val="TableText"/>
              <w:jc w:val="left"/>
            </w:pPr>
            <w:r w:rsidRPr="00612923">
              <w:t>Climate Zone X  (e.g., San Jose/Concord)</w:t>
            </w:r>
          </w:p>
        </w:tc>
        <w:tc>
          <w:tcPr>
            <w:tcW w:w="1350" w:type="dxa"/>
            <w:tcBorders>
              <w:top w:val="nil"/>
              <w:left w:val="nil"/>
              <w:bottom w:val="single" w:sz="4" w:space="0" w:color="auto"/>
              <w:right w:val="single" w:sz="4" w:space="0" w:color="auto"/>
            </w:tcBorders>
            <w:shd w:val="clear" w:color="000000" w:fill="FFFFFF"/>
            <w:noWrap/>
            <w:vAlign w:val="center"/>
            <w:hideMark/>
          </w:tcPr>
          <w:p w:rsidR="00FD127A" w:rsidRPr="00612923" w:rsidRDefault="007C3A6C" w:rsidP="007C3A6C">
            <w:pPr>
              <w:pStyle w:val="TableText"/>
            </w:pPr>
            <w:r w:rsidRPr="00612923">
              <w:t>45</w:t>
            </w:r>
            <w:r w:rsidR="00FD127A" w:rsidRPr="00612923">
              <w:t>%</w:t>
            </w:r>
          </w:p>
        </w:tc>
        <w:tc>
          <w:tcPr>
            <w:tcW w:w="1440" w:type="dxa"/>
            <w:tcBorders>
              <w:top w:val="nil"/>
              <w:left w:val="nil"/>
              <w:bottom w:val="single" w:sz="4" w:space="0" w:color="auto"/>
              <w:right w:val="single" w:sz="4" w:space="0" w:color="auto"/>
            </w:tcBorders>
            <w:shd w:val="clear" w:color="000000" w:fill="FFFFFF"/>
            <w:noWrap/>
            <w:vAlign w:val="center"/>
            <w:hideMark/>
          </w:tcPr>
          <w:p w:rsidR="00FD127A" w:rsidRPr="00612923" w:rsidRDefault="007C3A6C" w:rsidP="001E1C41">
            <w:pPr>
              <w:pStyle w:val="TableText"/>
            </w:pPr>
            <w:r w:rsidRPr="00612923">
              <w:t>44</w:t>
            </w:r>
            <w:r w:rsidR="00FD127A" w:rsidRPr="00612923">
              <w:t>%</w:t>
            </w:r>
          </w:p>
        </w:tc>
      </w:tr>
    </w:tbl>
    <w:p w:rsidR="00FD127A" w:rsidRPr="00612923" w:rsidRDefault="00FD127A" w:rsidP="001E1C41">
      <w:pPr>
        <w:pStyle w:val="Heading2"/>
        <w:spacing w:before="360"/>
      </w:pPr>
      <w:bookmarkStart w:id="78" w:name="_Toc349193903"/>
      <w:bookmarkStart w:id="79" w:name="_Toc352567316"/>
      <w:r w:rsidRPr="00612923">
        <w:t>Analysis Method</w:t>
      </w:r>
      <w:bookmarkEnd w:id="78"/>
      <w:bookmarkEnd w:id="79"/>
    </w:p>
    <w:p w:rsidR="00FD127A" w:rsidRPr="00612923" w:rsidRDefault="00FD127A" w:rsidP="00FD127A">
      <w:pPr>
        <w:pStyle w:val="BodyParagraph"/>
      </w:pPr>
      <w:r w:rsidRPr="00612923">
        <w:t>A simple comparison of means, implemented with regression, was used to estimate demand reductions.  For monthly system peak days, the model calculates the difference in loads between customers on E-6 and E-7 versus the control group for each month and hour.  These results are identical to implementing a comparison of means using a t-test, a standard statistical technique used when control groups are available.</w:t>
      </w:r>
      <w:r w:rsidRPr="00612923">
        <w:rPr>
          <w:rStyle w:val="FootnoteReference"/>
        </w:rPr>
        <w:footnoteReference w:id="32"/>
      </w:r>
      <w:r w:rsidRPr="00612923">
        <w:t xml:space="preserve">  </w:t>
      </w:r>
    </w:p>
    <w:p w:rsidR="00BF076A" w:rsidRPr="00612923" w:rsidRDefault="00BF076A" w:rsidP="00FD127A">
      <w:pPr>
        <w:pStyle w:val="BodyBeforeBullet"/>
      </w:pPr>
      <w:r w:rsidRPr="00612923">
        <w:t>Standard errors are estimated allowing for correlation of the error term within customers</w:t>
      </w:r>
      <w:r w:rsidR="00FD127A" w:rsidRPr="00612923">
        <w:t>.</w:t>
      </w:r>
      <w:r w:rsidR="00FD127A" w:rsidRPr="00612923">
        <w:rPr>
          <w:rStyle w:val="FootnoteReference"/>
        </w:rPr>
        <w:footnoteReference w:id="33"/>
      </w:r>
      <w:r w:rsidR="00FD127A" w:rsidRPr="00612923">
        <w:t xml:space="preserve">  </w:t>
      </w:r>
    </w:p>
    <w:p w:rsidR="00FD127A" w:rsidRPr="00612923" w:rsidRDefault="00FD127A" w:rsidP="00FD127A">
      <w:pPr>
        <w:pStyle w:val="BodyBeforeBullet"/>
      </w:pPr>
      <w:r w:rsidRPr="00612923">
        <w:t>Separate regressions were calculated for:</w:t>
      </w:r>
    </w:p>
    <w:p w:rsidR="00FD127A" w:rsidRPr="00612923" w:rsidRDefault="00FD127A" w:rsidP="00FD127A">
      <w:pPr>
        <w:pStyle w:val="Bullets"/>
      </w:pPr>
      <w:r w:rsidRPr="00612923">
        <w:t>Each hour of the day (24);</w:t>
      </w:r>
    </w:p>
    <w:p w:rsidR="00FD127A" w:rsidRPr="00612923" w:rsidRDefault="00FD127A" w:rsidP="00FD127A">
      <w:pPr>
        <w:pStyle w:val="Bullets"/>
      </w:pPr>
      <w:r w:rsidRPr="00612923">
        <w:t>Two day types – monthly system peaks and average weekdays;</w:t>
      </w:r>
    </w:p>
    <w:p w:rsidR="00FD127A" w:rsidRPr="00612923" w:rsidRDefault="00FD127A" w:rsidP="00FD127A">
      <w:pPr>
        <w:pStyle w:val="Bullets"/>
      </w:pPr>
      <w:r w:rsidRPr="00612923">
        <w:t>Each month in the evaluation period (12); and</w:t>
      </w:r>
    </w:p>
    <w:p w:rsidR="00FD127A" w:rsidRPr="00612923" w:rsidRDefault="00FD127A" w:rsidP="00FD127A">
      <w:pPr>
        <w:pStyle w:val="BulletLast"/>
      </w:pPr>
      <w:r w:rsidRPr="00612923">
        <w:t xml:space="preserve">Seven local capacity areas.   </w:t>
      </w:r>
    </w:p>
    <w:p w:rsidR="00FD127A" w:rsidRPr="00612923" w:rsidRDefault="00BF076A" w:rsidP="00FD127A">
      <w:pPr>
        <w:pStyle w:val="BodyBeforeBullet"/>
      </w:pPr>
      <w:r w:rsidRPr="00612923">
        <w:t>T</w:t>
      </w:r>
      <w:r w:rsidR="00FD127A" w:rsidRPr="00612923">
        <w:t>he regression models can be expressed as:</w:t>
      </w:r>
    </w:p>
    <w:tbl>
      <w:tblPr>
        <w:tblW w:w="7760" w:type="dxa"/>
        <w:jc w:val="center"/>
        <w:tblInd w:w="97" w:type="dxa"/>
        <w:tblLook w:val="04A0"/>
      </w:tblPr>
      <w:tblGrid>
        <w:gridCol w:w="600"/>
        <w:gridCol w:w="2980"/>
        <w:gridCol w:w="4180"/>
      </w:tblGrid>
      <w:tr w:rsidR="00FD127A" w:rsidRPr="00612923" w:rsidTr="00FD127A">
        <w:trPr>
          <w:trHeight w:val="288"/>
          <w:jc w:val="center"/>
        </w:trPr>
        <w:tc>
          <w:tcPr>
            <w:tcW w:w="3580" w:type="dxa"/>
            <w:gridSpan w:val="2"/>
            <w:tcBorders>
              <w:top w:val="single" w:sz="4" w:space="0" w:color="000000"/>
              <w:left w:val="single" w:sz="4" w:space="0" w:color="000000"/>
              <w:bottom w:val="nil"/>
              <w:right w:val="single" w:sz="4" w:space="0" w:color="FFFFFF"/>
            </w:tcBorders>
            <w:shd w:val="clear" w:color="000000" w:fill="376091"/>
            <w:vAlign w:val="center"/>
            <w:hideMark/>
          </w:tcPr>
          <w:p w:rsidR="00FD127A" w:rsidRPr="00612923" w:rsidRDefault="00FD127A" w:rsidP="00254844">
            <w:pPr>
              <w:pStyle w:val="TableHeader"/>
              <w:keepNext/>
              <w:rPr>
                <w:sz w:val="22"/>
              </w:rPr>
            </w:pPr>
            <w:r w:rsidRPr="00612923">
              <w:t>Day Type</w:t>
            </w:r>
          </w:p>
        </w:tc>
        <w:tc>
          <w:tcPr>
            <w:tcW w:w="4180" w:type="dxa"/>
            <w:tcBorders>
              <w:top w:val="single" w:sz="4" w:space="0" w:color="000000"/>
              <w:left w:val="nil"/>
              <w:bottom w:val="nil"/>
              <w:right w:val="single" w:sz="4" w:space="0" w:color="000000"/>
            </w:tcBorders>
            <w:shd w:val="clear" w:color="000000" w:fill="376091"/>
            <w:vAlign w:val="center"/>
            <w:hideMark/>
          </w:tcPr>
          <w:p w:rsidR="00FD127A" w:rsidRPr="00612923" w:rsidRDefault="00FD127A" w:rsidP="00254844">
            <w:pPr>
              <w:pStyle w:val="TableHeader"/>
              <w:keepNext/>
              <w:rPr>
                <w:sz w:val="22"/>
              </w:rPr>
            </w:pPr>
            <w:r w:rsidRPr="00612923">
              <w:t>Regression Model</w:t>
            </w:r>
          </w:p>
        </w:tc>
      </w:tr>
      <w:tr w:rsidR="00FD127A" w:rsidRPr="00612923" w:rsidTr="00FD127A">
        <w:trPr>
          <w:trHeight w:val="288"/>
          <w:jc w:val="center"/>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127A" w:rsidRPr="00612923" w:rsidRDefault="00FD127A" w:rsidP="00254844">
            <w:pPr>
              <w:pStyle w:val="TableText"/>
              <w:keepNext/>
            </w:pPr>
            <w:r w:rsidRPr="00612923">
              <w:t>1</w:t>
            </w:r>
          </w:p>
        </w:tc>
        <w:tc>
          <w:tcPr>
            <w:tcW w:w="2980" w:type="dxa"/>
            <w:tcBorders>
              <w:top w:val="single" w:sz="4" w:space="0" w:color="auto"/>
              <w:left w:val="nil"/>
              <w:bottom w:val="single" w:sz="4" w:space="0" w:color="auto"/>
              <w:right w:val="single" w:sz="4" w:space="0" w:color="auto"/>
            </w:tcBorders>
            <w:shd w:val="clear" w:color="auto" w:fill="auto"/>
            <w:vAlign w:val="center"/>
            <w:hideMark/>
          </w:tcPr>
          <w:p w:rsidR="00FD127A" w:rsidRPr="00612923" w:rsidRDefault="00FD127A" w:rsidP="00254844">
            <w:pPr>
              <w:pStyle w:val="TableText"/>
              <w:keepNext/>
            </w:pPr>
            <w:r w:rsidRPr="00612923">
              <w:t>Monthly peak model</w:t>
            </w:r>
          </w:p>
        </w:tc>
        <w:tc>
          <w:tcPr>
            <w:tcW w:w="4180" w:type="dxa"/>
            <w:tcBorders>
              <w:top w:val="single" w:sz="4" w:space="0" w:color="auto"/>
              <w:left w:val="nil"/>
              <w:bottom w:val="single" w:sz="4" w:space="0" w:color="auto"/>
              <w:right w:val="single" w:sz="4" w:space="0" w:color="auto"/>
            </w:tcBorders>
            <w:shd w:val="clear" w:color="auto" w:fill="auto"/>
            <w:hideMark/>
          </w:tcPr>
          <w:p w:rsidR="00FD127A" w:rsidRPr="00612923" w:rsidRDefault="00071D48" w:rsidP="00254844">
            <w:pPr>
              <w:pStyle w:val="Bullets"/>
              <w:keepNext/>
            </w:pPr>
            <m:oMath>
              <m:sSub>
                <m:sSubPr>
                  <m:ctrlPr>
                    <w:rPr>
                      <w:rFonts w:ascii="Cambria Math" w:hAnsi="Cambria Math"/>
                    </w:rPr>
                  </m:ctrlPr>
                </m:sSubPr>
                <m:e>
                  <m:r>
                    <w:rPr>
                      <w:rFonts w:ascii="Cambria Math" w:hAnsi="Cambria Math"/>
                    </w:rPr>
                    <m:t>kW</m:t>
                  </m:r>
                </m:e>
                <m:sub>
                  <m:r>
                    <w:rPr>
                      <w:rFonts w:ascii="Cambria Math" w:hAnsi="Cambria Math"/>
                    </w:rPr>
                    <m:t>i</m:t>
                  </m:r>
                  <m:r>
                    <m:rPr>
                      <m:sty m:val="p"/>
                    </m:rPr>
                    <w:rPr>
                      <w:rFonts w:ascii="Cambria Math" w:hAnsi="Cambria Math"/>
                    </w:rPr>
                    <m:t xml:space="preserve">, </m:t>
                  </m:r>
                  <m:r>
                    <w:rPr>
                      <w:rFonts w:ascii="Cambria Math" w:hAnsi="Cambria Math"/>
                    </w:rPr>
                    <m:t>h</m:t>
                  </m:r>
                  <m:r>
                    <m:rPr>
                      <m:sty m:val="p"/>
                    </m:rPr>
                    <w:rPr>
                      <w:rFonts w:ascii="Cambria Math" w:hAnsi="Cambria Math"/>
                    </w:rPr>
                    <m:t xml:space="preserve">, </m:t>
                  </m:r>
                  <m:r>
                    <w:rPr>
                      <w:rFonts w:ascii="Cambria Math" w:hAnsi="Cambria Math"/>
                    </w:rPr>
                    <m:t>m</m:t>
                  </m:r>
                  <m:r>
                    <m:rPr>
                      <m:sty m:val="p"/>
                    </m:rPr>
                    <w:rPr>
                      <w:rFonts w:ascii="Cambria Math" w:hAnsi="Cambria Math"/>
                    </w:rPr>
                    <m:t xml:space="preserve">, </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h</m:t>
                  </m:r>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h</m:t>
                  </m:r>
                  <m:r>
                    <m:rPr>
                      <m:sty m:val="p"/>
                    </m:rPr>
                    <w:rPr>
                      <w:rFonts w:ascii="Cambria Math" w:hAnsi="Cambria Math"/>
                    </w:rPr>
                    <m:t xml:space="preserve">, </m:t>
                  </m:r>
                  <m:r>
                    <w:rPr>
                      <w:rFonts w:ascii="Cambria Math" w:hAnsi="Cambria Math"/>
                    </w:rPr>
                    <m:t>m</m:t>
                  </m:r>
                  <m:r>
                    <m:rPr>
                      <m:sty m:val="p"/>
                    </m:rPr>
                    <w:rPr>
                      <w:rFonts w:ascii="Cambria Math" w:hAnsi="Cambria Math"/>
                    </w:rPr>
                    <m:t xml:space="preserve">, </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TOU</m:t>
                  </m:r>
                </m:e>
                <m:sub>
                  <m:r>
                    <w:rPr>
                      <w:rFonts w:ascii="Cambria Math" w:hAnsi="Cambria Math"/>
                    </w:rPr>
                    <m:t>i</m:t>
                  </m:r>
                </m:sub>
              </m:sSub>
            </m:oMath>
          </w:p>
        </w:tc>
      </w:tr>
      <w:tr w:rsidR="00FD127A" w:rsidRPr="00612923" w:rsidTr="00FD127A">
        <w:trPr>
          <w:trHeight w:val="288"/>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D127A" w:rsidRPr="00612923" w:rsidRDefault="00FD127A" w:rsidP="00FD127A">
            <w:pPr>
              <w:pStyle w:val="TableText"/>
            </w:pPr>
            <w:r w:rsidRPr="00612923">
              <w:t>2</w:t>
            </w:r>
          </w:p>
        </w:tc>
        <w:tc>
          <w:tcPr>
            <w:tcW w:w="2980" w:type="dxa"/>
            <w:tcBorders>
              <w:top w:val="nil"/>
              <w:left w:val="nil"/>
              <w:bottom w:val="single" w:sz="4" w:space="0" w:color="auto"/>
              <w:right w:val="single" w:sz="4" w:space="0" w:color="auto"/>
            </w:tcBorders>
            <w:shd w:val="clear" w:color="auto" w:fill="auto"/>
            <w:vAlign w:val="center"/>
            <w:hideMark/>
          </w:tcPr>
          <w:p w:rsidR="00FD127A" w:rsidRPr="00612923" w:rsidRDefault="00FD127A" w:rsidP="00FD127A">
            <w:pPr>
              <w:pStyle w:val="TableText"/>
            </w:pPr>
            <w:r w:rsidRPr="00612923">
              <w:t>Average weekday model</w:t>
            </w:r>
          </w:p>
        </w:tc>
        <w:tc>
          <w:tcPr>
            <w:tcW w:w="4180" w:type="dxa"/>
            <w:tcBorders>
              <w:top w:val="nil"/>
              <w:left w:val="nil"/>
              <w:bottom w:val="single" w:sz="4" w:space="0" w:color="auto"/>
              <w:right w:val="single" w:sz="4" w:space="0" w:color="auto"/>
            </w:tcBorders>
            <w:shd w:val="clear" w:color="auto" w:fill="auto"/>
            <w:hideMark/>
          </w:tcPr>
          <w:p w:rsidR="00FD127A" w:rsidRPr="00612923" w:rsidRDefault="00071D48" w:rsidP="00FD127A">
            <w:pPr>
              <w:pStyle w:val="Bullets"/>
            </w:pPr>
            <m:oMath>
              <m:sSub>
                <m:sSubPr>
                  <m:ctrlPr>
                    <w:rPr>
                      <w:rFonts w:ascii="Cambria Math" w:hAnsi="Cambria Math"/>
                    </w:rPr>
                  </m:ctrlPr>
                </m:sSubPr>
                <m:e>
                  <m:r>
                    <w:rPr>
                      <w:rFonts w:ascii="Cambria Math" w:hAnsi="Cambria Math"/>
                    </w:rPr>
                    <m:t>kW</m:t>
                  </m:r>
                </m:e>
                <m:sub>
                  <m:r>
                    <w:rPr>
                      <w:rFonts w:ascii="Cambria Math" w:hAnsi="Cambria Math"/>
                    </w:rPr>
                    <m:t>i</m:t>
                  </m:r>
                  <m:r>
                    <m:rPr>
                      <m:sty m:val="p"/>
                    </m:rPr>
                    <w:rPr>
                      <w:rFonts w:ascii="Cambria Math" w:hAnsi="Cambria Math"/>
                    </w:rPr>
                    <m:t xml:space="preserve">, </m:t>
                  </m:r>
                  <m:r>
                    <w:rPr>
                      <w:rFonts w:ascii="Cambria Math" w:hAnsi="Cambria Math"/>
                    </w:rPr>
                    <m:t>h</m:t>
                  </m:r>
                  <m:r>
                    <m:rPr>
                      <m:sty m:val="p"/>
                    </m:rPr>
                    <w:rPr>
                      <w:rFonts w:ascii="Cambria Math" w:hAnsi="Cambria Math"/>
                    </w:rPr>
                    <m:t xml:space="preserve">, </m:t>
                  </m:r>
                  <m:r>
                    <w:rPr>
                      <w:rFonts w:ascii="Cambria Math" w:hAnsi="Cambria Math"/>
                    </w:rPr>
                    <m:t>m</m:t>
                  </m:r>
                  <m:r>
                    <m:rPr>
                      <m:sty m:val="p"/>
                    </m:rPr>
                    <w:rPr>
                      <w:rFonts w:ascii="Cambria Math" w:hAnsi="Cambria Math"/>
                    </w:rPr>
                    <m:t xml:space="preserve">, </m:t>
                  </m:r>
                  <m:r>
                    <w:rPr>
                      <w:rFonts w:ascii="Cambria Math" w:hAnsi="Cambria Math"/>
                    </w:rPr>
                    <m:t>l</m:t>
                  </m:r>
                  <m:r>
                    <m:rPr>
                      <m:sty m:val="p"/>
                    </m:rPr>
                    <w:rPr>
                      <w:rFonts w:ascii="Cambria Math" w:hAnsi="Cambria Math"/>
                    </w:rPr>
                    <m:t xml:space="preserve">, </m:t>
                  </m:r>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h</m:t>
                  </m:r>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h</m:t>
                  </m:r>
                  <m:r>
                    <m:rPr>
                      <m:sty m:val="p"/>
                    </m:rPr>
                    <w:rPr>
                      <w:rFonts w:ascii="Cambria Math" w:hAnsi="Cambria Math"/>
                    </w:rPr>
                    <m:t xml:space="preserve">, </m:t>
                  </m:r>
                  <m:r>
                    <w:rPr>
                      <w:rFonts w:ascii="Cambria Math" w:hAnsi="Cambria Math"/>
                    </w:rPr>
                    <m:t>m</m:t>
                  </m:r>
                  <m:r>
                    <m:rPr>
                      <m:sty m:val="p"/>
                    </m:rPr>
                    <w:rPr>
                      <w:rFonts w:ascii="Cambria Math" w:hAnsi="Cambria Math"/>
                    </w:rPr>
                    <m:t xml:space="preserve">, </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TOU</m:t>
                  </m:r>
                </m:e>
                <m:sub>
                  <m:r>
                    <w:rPr>
                      <w:rFonts w:ascii="Cambria Math" w:hAnsi="Cambria Math"/>
                    </w:rPr>
                    <m:t>i</m:t>
                  </m:r>
                </m:sub>
              </m:sSub>
            </m:oMath>
          </w:p>
        </w:tc>
      </w:tr>
    </w:tbl>
    <w:p w:rsidR="00FD127A" w:rsidRPr="00612923" w:rsidRDefault="00FD127A" w:rsidP="00FD127A">
      <w:pPr>
        <w:pStyle w:val="BodyParaAfterTableFigure"/>
      </w:pPr>
      <w:r w:rsidRPr="00612923">
        <w:lastRenderedPageBreak/>
        <w:t xml:space="preserve">In the regressions, </w:t>
      </w:r>
      <w:proofErr w:type="spellStart"/>
      <w:r w:rsidRPr="00612923">
        <w:rPr>
          <w:i/>
        </w:rPr>
        <w:t>i</w:t>
      </w:r>
      <w:proofErr w:type="spellEnd"/>
      <w:r w:rsidRPr="00612923">
        <w:rPr>
          <w:i/>
        </w:rPr>
        <w:t xml:space="preserve">, h, m </w:t>
      </w:r>
      <w:r w:rsidRPr="00612923">
        <w:t>and</w:t>
      </w:r>
      <w:r w:rsidRPr="00612923">
        <w:rPr>
          <w:i/>
        </w:rPr>
        <w:t xml:space="preserve"> l </w:t>
      </w:r>
      <w:r w:rsidRPr="00612923">
        <w:t xml:space="preserve">are indicators for each customer, hour, month and local capacity area, respectively.  The only difference between the monthly peak and average weekday model is that the latter includes multiple days, as noted by the indicator, </w:t>
      </w:r>
      <w:r w:rsidRPr="00612923">
        <w:rPr>
          <w:i/>
        </w:rPr>
        <w:t>d</w:t>
      </w:r>
      <w:r w:rsidRPr="00612923">
        <w:t xml:space="preserve">.  </w:t>
      </w:r>
    </w:p>
    <w:p w:rsidR="00FD127A" w:rsidRPr="00612923" w:rsidRDefault="00FD127A" w:rsidP="001E1C41">
      <w:pPr>
        <w:pStyle w:val="Heading1"/>
      </w:pPr>
      <w:bookmarkStart w:id="80" w:name="_Toc289273119"/>
      <w:bookmarkStart w:id="81" w:name="_Toc319245313"/>
      <w:r w:rsidRPr="00612923">
        <w:br w:type="page"/>
      </w:r>
      <w:bookmarkStart w:id="82" w:name="_Toc349193904"/>
      <w:bookmarkStart w:id="83" w:name="_Toc352567317"/>
      <w:r w:rsidRPr="00612923">
        <w:lastRenderedPageBreak/>
        <w:t>TOU 2012 Ex Post Load Impacts</w:t>
      </w:r>
      <w:bookmarkEnd w:id="80"/>
      <w:bookmarkEnd w:id="81"/>
      <w:bookmarkEnd w:id="82"/>
      <w:bookmarkEnd w:id="83"/>
    </w:p>
    <w:p w:rsidR="00FD127A" w:rsidRPr="00612923" w:rsidRDefault="00FD127A" w:rsidP="00FD127A">
      <w:pPr>
        <w:pStyle w:val="BodyParagraph"/>
      </w:pPr>
      <w:r w:rsidRPr="00612923">
        <w:t>This section summarizes the ex post load impact estimates for TOU customers.  The impact estimates are based on the comparison of means described above.  The analysis excludes approximately 30,000 net-metered customers that have solar panels and are accounted for through the evaluation of solar programs.  This evaluation does not produce separate load impact estimates for E-6</w:t>
      </w:r>
      <w:r w:rsidR="007C3A6C" w:rsidRPr="00612923">
        <w:t xml:space="preserve"> and E-7</w:t>
      </w:r>
      <w:r w:rsidRPr="00612923">
        <w:t xml:space="preserve"> customers for reasons discussed previously.  </w:t>
      </w:r>
    </w:p>
    <w:p w:rsidR="00FD127A" w:rsidRPr="00612923" w:rsidRDefault="00FD127A" w:rsidP="001E1C41">
      <w:pPr>
        <w:pStyle w:val="Heading2"/>
      </w:pPr>
      <w:bookmarkStart w:id="84" w:name="_Toc289273120"/>
      <w:bookmarkStart w:id="85" w:name="_Toc319245314"/>
      <w:bookmarkStart w:id="86" w:name="_Toc349193905"/>
      <w:bookmarkStart w:id="87" w:name="_Toc352567318"/>
      <w:r w:rsidRPr="00612923">
        <w:t>2012 System Peak Day Load Impacts</w:t>
      </w:r>
      <w:bookmarkEnd w:id="84"/>
      <w:bookmarkEnd w:id="85"/>
      <w:bookmarkEnd w:id="86"/>
      <w:bookmarkEnd w:id="87"/>
    </w:p>
    <w:p w:rsidR="00FD127A" w:rsidRPr="00612923" w:rsidRDefault="00FD127A" w:rsidP="00FD127A">
      <w:pPr>
        <w:pStyle w:val="BodyParagraph"/>
      </w:pPr>
      <w:r w:rsidRPr="00612923">
        <w:t>Figure 7-1 shows estimates of hourly load impacts for the average customer on the annual system peak day, which occurred on August 12, 2012.  During the peak price period, from 12 PM (noon) to 6</w:t>
      </w:r>
      <w:r w:rsidR="00D83CDA" w:rsidRPr="00612923">
        <w:t> </w:t>
      </w:r>
      <w:r w:rsidRPr="00612923">
        <w:t>PM, customers used an average of 9% less electricity compared to the reference load.</w:t>
      </w:r>
      <w:r w:rsidR="00AA59EE">
        <w:rPr>
          <w:rStyle w:val="FootnoteReference"/>
        </w:rPr>
        <w:footnoteReference w:id="34"/>
      </w:r>
      <w:r w:rsidRPr="00612923">
        <w:t xml:space="preserve">  Hourly reductions across the peak period range from 0.09 kW to 0.24 kW and from </w:t>
      </w:r>
      <w:r w:rsidR="00E8267E" w:rsidRPr="00612923">
        <w:t>6</w:t>
      </w:r>
      <w:r w:rsidRPr="00612923">
        <w:t xml:space="preserve">% to </w:t>
      </w:r>
      <w:r w:rsidR="00E8267E" w:rsidRPr="00612923">
        <w:t>12</w:t>
      </w:r>
      <w:r w:rsidRPr="00612923">
        <w:t>%.  The differences during peak hours are all statistically significant, with 95% confidence, except for the hour from 12 PM to 1 PM and 5 PM to 6 PM, which are statistically significant with 90% confidence.  Except for the period from 5 AM to 11 AM, when customers show an increase in electricity use, the differences for almost all remaining hours in the day are not statistically significant.  Note that the</w:t>
      </w:r>
      <w:r w:rsidR="00D83CDA" w:rsidRPr="00612923">
        <w:t> </w:t>
      </w:r>
      <w:r w:rsidRPr="00612923">
        <w:t>confidence intervals for all hours are relatively wide, in part because results are less precise for</w:t>
      </w:r>
      <w:r w:rsidR="00D83CDA" w:rsidRPr="00612923">
        <w:t> </w:t>
      </w:r>
      <w:r w:rsidRPr="00612923">
        <w:t xml:space="preserve">individual days because only a relatively small amount of data is available. </w:t>
      </w:r>
    </w:p>
    <w:p w:rsidR="00FD127A" w:rsidRPr="00612923" w:rsidRDefault="00FD127A" w:rsidP="00FD127A">
      <w:pPr>
        <w:pStyle w:val="BodyParagraph"/>
      </w:pPr>
      <w:r w:rsidRPr="00612923">
        <w:t xml:space="preserve">Figure 7-2 shows the average weekday load shapes for the month of July, which is typically the hottest month in PG&amp;E’s territory.  The results for the average weekday are more stable and precise than results for the monthly peak day because more days are used to calculate the estimate.  In this month, TOU customers decreased electricity use in tandem with the peak period prices.  Customers increased electricity use from 5 PM to 11 PM, when prices were lower, indicating that they are shifting load to these hours.  When the peak period prices went into effect, from 12 PM to 6 PM, TOU customers consistently reduced electricity consumption by 0.09 kW to 0.16 kW, depending on the hour.  On average, they reduced electricity use by </w:t>
      </w:r>
      <w:r w:rsidR="00E8267E" w:rsidRPr="00612923">
        <w:t>10</w:t>
      </w:r>
      <w:r w:rsidRPr="00612923">
        <w:t>% across the event period.  The reductions for</w:t>
      </w:r>
      <w:r w:rsidR="00D83CDA" w:rsidRPr="00612923">
        <w:t> </w:t>
      </w:r>
      <w:r w:rsidRPr="00612923">
        <w:t xml:space="preserve">all peak hours are statistically significant.  As soon as the peak period prices end, at 6 PM, TOU customers no longer reduce electricity use.  Their electricity use in the evening and late night hours (6 PM to 12 AM) was similar to that of the control group.  The small differences in the load shapes during these hours were not statistically significant. </w:t>
      </w:r>
    </w:p>
    <w:p w:rsidR="00364C9D" w:rsidRPr="00612923" w:rsidRDefault="00364C9D" w:rsidP="00FD127A">
      <w:pPr>
        <w:pStyle w:val="BodyParagraph"/>
        <w:sectPr w:rsidR="00364C9D" w:rsidRPr="00612923" w:rsidSect="00701E06">
          <w:headerReference w:type="default" r:id="rId40"/>
          <w:pgSz w:w="12240" w:h="15840"/>
          <w:pgMar w:top="1440" w:right="1440" w:bottom="1440" w:left="1440" w:header="720" w:footer="720" w:gutter="0"/>
          <w:cols w:space="720"/>
          <w:docGrid w:linePitch="360"/>
        </w:sectPr>
      </w:pPr>
    </w:p>
    <w:p w:rsidR="00AD4F9A" w:rsidRDefault="00364C9D" w:rsidP="00364C9D">
      <w:pPr>
        <w:pStyle w:val="TableFigureCaption"/>
        <w:rPr>
          <w:b w:val="0"/>
        </w:rPr>
      </w:pPr>
      <w:bookmarkStart w:id="88" w:name="_Ref286686787"/>
      <w:r w:rsidRPr="00612923">
        <w:lastRenderedPageBreak/>
        <w:t>Figure 7-</w:t>
      </w:r>
      <w:r w:rsidR="00071D48">
        <w:fldChar w:fldCharType="begin"/>
      </w:r>
      <w:r w:rsidR="00A22ACF">
        <w:instrText xml:space="preserve"> SEQ Figure \* ARABIC \s 1 </w:instrText>
      </w:r>
      <w:r w:rsidR="00071D48">
        <w:fldChar w:fldCharType="separate"/>
      </w:r>
      <w:r w:rsidR="00911840">
        <w:rPr>
          <w:noProof/>
        </w:rPr>
        <w:t>1</w:t>
      </w:r>
      <w:r w:rsidR="00071D48">
        <w:rPr>
          <w:noProof/>
        </w:rPr>
        <w:fldChar w:fldCharType="end"/>
      </w:r>
      <w:bookmarkEnd w:id="88"/>
      <w:r w:rsidRPr="00612923">
        <w:t>: Average Hourly Load Impact Estimates for Residential TOU Customers</w:t>
      </w:r>
      <w:r w:rsidRPr="00612923">
        <w:br/>
        <w:t>Annual Peak Day (August 12, 2012)</w:t>
      </w:r>
      <w:r w:rsidR="00AD4F9A" w:rsidRPr="00AD4F9A">
        <w:rPr>
          <w:b w:val="0"/>
        </w:rPr>
        <w:t xml:space="preserve"> </w:t>
      </w:r>
    </w:p>
    <w:p w:rsidR="00364C9D" w:rsidRPr="00612923" w:rsidRDefault="00AD4F9A" w:rsidP="00364C9D">
      <w:pPr>
        <w:pStyle w:val="TableFigureCaption"/>
      </w:pPr>
      <w:r w:rsidRPr="00AD4F9A">
        <w:rPr>
          <w:noProof/>
        </w:rPr>
        <w:drawing>
          <wp:inline distT="0" distB="0" distL="0" distR="0">
            <wp:extent cx="8229600" cy="341534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0" cy="3415347"/>
                    </a:xfrm>
                    <a:prstGeom prst="rect">
                      <a:avLst/>
                    </a:prstGeom>
                    <a:noFill/>
                    <a:ln>
                      <a:noFill/>
                    </a:ln>
                  </pic:spPr>
                </pic:pic>
              </a:graphicData>
            </a:graphic>
          </wp:inline>
        </w:drawing>
      </w:r>
    </w:p>
    <w:p w:rsidR="00364C9D" w:rsidRPr="00612923" w:rsidRDefault="00364C9D" w:rsidP="00364C9D">
      <w:pPr>
        <w:pStyle w:val="BodyParagraph"/>
        <w:jc w:val="center"/>
      </w:pPr>
    </w:p>
    <w:p w:rsidR="00364C9D" w:rsidRPr="00612923" w:rsidRDefault="00364C9D" w:rsidP="00364C9D">
      <w:pPr>
        <w:pStyle w:val="TableFigureCaption"/>
      </w:pPr>
    </w:p>
    <w:p w:rsidR="00364C9D" w:rsidRPr="00612923" w:rsidRDefault="00364C9D" w:rsidP="00364C9D">
      <w:pPr>
        <w:spacing w:after="0" w:line="240" w:lineRule="auto"/>
        <w:rPr>
          <w:rFonts w:ascii="Arial" w:hAnsi="Arial"/>
          <w:b/>
        </w:rPr>
      </w:pPr>
      <w:r w:rsidRPr="00612923">
        <w:br w:type="page"/>
      </w:r>
    </w:p>
    <w:p w:rsidR="00AD4F9A" w:rsidRDefault="00364C9D" w:rsidP="00364C9D">
      <w:pPr>
        <w:pStyle w:val="TableFigureCaption"/>
      </w:pPr>
      <w:r w:rsidRPr="00612923">
        <w:lastRenderedPageBreak/>
        <w:t>Figure 7-2:</w:t>
      </w:r>
      <w:r w:rsidR="00D83CDA" w:rsidRPr="00612923">
        <w:t xml:space="preserve"> </w:t>
      </w:r>
      <w:r w:rsidRPr="00612923">
        <w:t>Average Hourly Load Impact Estimates for Residential TOU Customers</w:t>
      </w:r>
      <w:r w:rsidRPr="00612923">
        <w:br/>
        <w:t>Average July 2012 Weekday</w:t>
      </w:r>
    </w:p>
    <w:p w:rsidR="00AD4F9A" w:rsidRDefault="00AD4F9A" w:rsidP="00364C9D">
      <w:pPr>
        <w:pStyle w:val="TableFigureCaption"/>
      </w:pPr>
      <w:r w:rsidRPr="00AD4F9A">
        <w:rPr>
          <w:noProof/>
        </w:rPr>
        <w:drawing>
          <wp:inline distT="0" distB="0" distL="0" distR="0">
            <wp:extent cx="8229600" cy="341534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0" cy="3415347"/>
                    </a:xfrm>
                    <a:prstGeom prst="rect">
                      <a:avLst/>
                    </a:prstGeom>
                    <a:noFill/>
                    <a:ln>
                      <a:noFill/>
                    </a:ln>
                  </pic:spPr>
                </pic:pic>
              </a:graphicData>
            </a:graphic>
          </wp:inline>
        </w:drawing>
      </w:r>
    </w:p>
    <w:p w:rsidR="00364C9D" w:rsidRPr="00612923" w:rsidRDefault="00364C9D" w:rsidP="00364C9D">
      <w:pPr>
        <w:pStyle w:val="TableFigureCaption"/>
      </w:pPr>
    </w:p>
    <w:p w:rsidR="00364C9D" w:rsidRPr="00612923" w:rsidRDefault="00364C9D" w:rsidP="00364C9D">
      <w:pPr>
        <w:pStyle w:val="BodyParagraph"/>
        <w:sectPr w:rsidR="00364C9D" w:rsidRPr="00612923" w:rsidSect="00364C9D">
          <w:headerReference w:type="default" r:id="rId43"/>
          <w:pgSz w:w="15840" w:h="12240" w:orient="landscape"/>
          <w:pgMar w:top="1440" w:right="1440" w:bottom="1440" w:left="1440" w:header="720" w:footer="720" w:gutter="0"/>
          <w:cols w:space="720"/>
          <w:docGrid w:linePitch="360"/>
        </w:sectPr>
      </w:pPr>
    </w:p>
    <w:p w:rsidR="00364C9D" w:rsidRPr="00612923" w:rsidRDefault="00364C9D" w:rsidP="00364C9D">
      <w:pPr>
        <w:pStyle w:val="Heading2"/>
      </w:pPr>
      <w:bookmarkStart w:id="89" w:name="_Toc289273121"/>
      <w:bookmarkStart w:id="90" w:name="_Toc319245315"/>
      <w:bookmarkStart w:id="91" w:name="_Toc349193906"/>
      <w:bookmarkStart w:id="92" w:name="_Toc352567319"/>
      <w:r w:rsidRPr="00612923">
        <w:lastRenderedPageBreak/>
        <w:t>Monthly System Peak Day Load Impacts</w:t>
      </w:r>
      <w:bookmarkEnd w:id="89"/>
      <w:bookmarkEnd w:id="90"/>
      <w:bookmarkEnd w:id="91"/>
      <w:bookmarkEnd w:id="92"/>
    </w:p>
    <w:p w:rsidR="00364C9D" w:rsidRPr="00612923" w:rsidRDefault="00364C9D" w:rsidP="00364C9D">
      <w:pPr>
        <w:pStyle w:val="BodyParagraph"/>
      </w:pPr>
      <w:r w:rsidRPr="00612923">
        <w:t xml:space="preserve">Table 7-1 shows the average load reduction on monthly system peak days for E-6 and E-7 customers during the time period included in the analysis, from </w:t>
      </w:r>
      <w:r w:rsidR="00C07873">
        <w:t>November</w:t>
      </w:r>
      <w:r w:rsidR="00C07873" w:rsidRPr="00612923">
        <w:t xml:space="preserve"> </w:t>
      </w:r>
      <w:r w:rsidRPr="00612923">
        <w:t>1,</w:t>
      </w:r>
      <w:r w:rsidRPr="00612923">
        <w:rPr>
          <w:vertAlign w:val="superscript"/>
        </w:rPr>
        <w:t xml:space="preserve"> </w:t>
      </w:r>
      <w:r w:rsidR="00C07873" w:rsidRPr="00612923">
        <w:t>201</w:t>
      </w:r>
      <w:r w:rsidR="00C07873">
        <w:t>1</w:t>
      </w:r>
      <w:r w:rsidR="00C07873" w:rsidRPr="00612923">
        <w:t xml:space="preserve"> </w:t>
      </w:r>
      <w:r w:rsidRPr="00612923">
        <w:t>through October 31, 2012.  Peak-period prices are higher in the summer rate period, which runs from May 1 through October 30.  As shown in Table 7-1, load reductions were greater during summer than winter, both in</w:t>
      </w:r>
      <w:r w:rsidR="00D83CDA" w:rsidRPr="00612923">
        <w:t> </w:t>
      </w:r>
      <w:r w:rsidRPr="00612923">
        <w:t>absolute and percentage terms.  During the summer, the average load reduction was 0.</w:t>
      </w:r>
      <w:r w:rsidR="00E8267E" w:rsidRPr="00612923">
        <w:t>20 kW, or 13</w:t>
      </w:r>
      <w:r w:rsidRPr="00612923">
        <w:t>%.  All summer results are statistically significant</w:t>
      </w:r>
      <w:r w:rsidR="00E8267E" w:rsidRPr="00612923">
        <w:t>ly different from zero</w:t>
      </w:r>
      <w:r w:rsidRPr="00612923">
        <w:t>.  Customers provided smaller, statistically insignificant, demand reductions during winter months, when prices are lower.  On average, TOU customers had electrici</w:t>
      </w:r>
      <w:r w:rsidR="00E8267E" w:rsidRPr="00612923">
        <w:t>ty use that was 0.</w:t>
      </w:r>
      <w:r w:rsidR="00C07873">
        <w:t>08</w:t>
      </w:r>
      <w:r w:rsidR="00E8267E" w:rsidRPr="00612923">
        <w:t xml:space="preserve"> kW, or </w:t>
      </w:r>
      <w:r w:rsidR="00C07873">
        <w:t>7</w:t>
      </w:r>
      <w:r w:rsidRPr="00612923">
        <w:t xml:space="preserve">%, lower than that of the control group during winter peak period hours.  </w:t>
      </w:r>
    </w:p>
    <w:p w:rsidR="00364C9D" w:rsidRDefault="00364C9D" w:rsidP="00364C9D">
      <w:pPr>
        <w:pStyle w:val="TableFigureCaption"/>
      </w:pPr>
      <w:bookmarkStart w:id="93" w:name="_Ref286686980"/>
      <w:r w:rsidRPr="00612923">
        <w:t>Table 7-</w:t>
      </w:r>
      <w:r w:rsidR="00071D48">
        <w:fldChar w:fldCharType="begin"/>
      </w:r>
      <w:r w:rsidR="00A22ACF">
        <w:instrText xml:space="preserve"> SEQ Table \* ARABIC \s 1 </w:instrText>
      </w:r>
      <w:r w:rsidR="00071D48">
        <w:fldChar w:fldCharType="separate"/>
      </w:r>
      <w:r w:rsidR="00911840">
        <w:rPr>
          <w:noProof/>
        </w:rPr>
        <w:t>1</w:t>
      </w:r>
      <w:r w:rsidR="00071D48">
        <w:rPr>
          <w:noProof/>
        </w:rPr>
        <w:fldChar w:fldCharType="end"/>
      </w:r>
      <w:bookmarkEnd w:id="93"/>
      <w:r w:rsidRPr="00612923">
        <w:t xml:space="preserve">: TOU Monthly System Peak Day Load Reductions (12 PM to 6 PM) </w:t>
      </w:r>
      <w:r w:rsidRPr="00612923">
        <w:br/>
      </w:r>
      <w:r w:rsidR="00C07873">
        <w:t>November 2011</w:t>
      </w:r>
      <w:r w:rsidRPr="00612923">
        <w:t xml:space="preserve"> to </w:t>
      </w:r>
      <w:bookmarkStart w:id="94" w:name="_Toc289273122"/>
      <w:r w:rsidRPr="00612923">
        <w:t>October 2012</w:t>
      </w:r>
    </w:p>
    <w:tbl>
      <w:tblPr>
        <w:tblW w:w="7300" w:type="dxa"/>
        <w:jc w:val="center"/>
        <w:tblInd w:w="93" w:type="dxa"/>
        <w:tblLook w:val="04A0"/>
      </w:tblPr>
      <w:tblGrid>
        <w:gridCol w:w="1100"/>
        <w:gridCol w:w="1200"/>
        <w:gridCol w:w="1172"/>
        <w:gridCol w:w="1240"/>
        <w:gridCol w:w="1194"/>
        <w:gridCol w:w="1560"/>
      </w:tblGrid>
      <w:tr w:rsidR="00C07873" w:rsidRPr="00C07873" w:rsidTr="00C07873">
        <w:trPr>
          <w:trHeight w:val="1020"/>
          <w:jc w:val="center"/>
        </w:trPr>
        <w:tc>
          <w:tcPr>
            <w:tcW w:w="1100" w:type="dxa"/>
            <w:vMerge w:val="restart"/>
            <w:tcBorders>
              <w:top w:val="single" w:sz="4" w:space="0" w:color="auto"/>
              <w:left w:val="single" w:sz="4" w:space="0" w:color="auto"/>
              <w:bottom w:val="single" w:sz="4" w:space="0" w:color="000000"/>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Month</w:t>
            </w:r>
          </w:p>
        </w:tc>
        <w:tc>
          <w:tcPr>
            <w:tcW w:w="120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Reference Load (kW)</w:t>
            </w:r>
          </w:p>
        </w:tc>
        <w:tc>
          <w:tcPr>
            <w:tcW w:w="112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Estimated Load with DR (kW)</w:t>
            </w:r>
          </w:p>
        </w:tc>
        <w:tc>
          <w:tcPr>
            <w:tcW w:w="124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Load Impact (kW)</w:t>
            </w:r>
          </w:p>
        </w:tc>
        <w:tc>
          <w:tcPr>
            <w:tcW w:w="108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Percent Reduction (%)</w:t>
            </w:r>
          </w:p>
        </w:tc>
        <w:tc>
          <w:tcPr>
            <w:tcW w:w="1560" w:type="dxa"/>
            <w:vMerge w:val="restart"/>
            <w:tcBorders>
              <w:top w:val="single" w:sz="4" w:space="0" w:color="auto"/>
              <w:left w:val="single" w:sz="4" w:space="0" w:color="FFFFFF"/>
              <w:bottom w:val="single" w:sz="4" w:space="0" w:color="000000"/>
              <w:right w:val="single" w:sz="4" w:space="0" w:color="auto"/>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Average Temp.  (°F)</w:t>
            </w:r>
          </w:p>
        </w:tc>
      </w:tr>
      <w:tr w:rsidR="00C07873" w:rsidRPr="00C07873" w:rsidTr="00C07873">
        <w:trPr>
          <w:trHeight w:val="300"/>
          <w:jc w:val="center"/>
        </w:trPr>
        <w:tc>
          <w:tcPr>
            <w:tcW w:w="1100" w:type="dxa"/>
            <w:vMerge/>
            <w:tcBorders>
              <w:top w:val="single" w:sz="4" w:space="0" w:color="auto"/>
              <w:left w:val="single" w:sz="4" w:space="0" w:color="auto"/>
              <w:bottom w:val="single" w:sz="4" w:space="0" w:color="000000"/>
              <w:right w:val="single" w:sz="4" w:space="0" w:color="FFFFFF"/>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c>
          <w:tcPr>
            <w:tcW w:w="1200" w:type="dxa"/>
            <w:vMerge/>
            <w:tcBorders>
              <w:top w:val="single" w:sz="4" w:space="0" w:color="auto"/>
              <w:left w:val="single" w:sz="4" w:space="0" w:color="FFFFFF"/>
              <w:bottom w:val="single" w:sz="4" w:space="0" w:color="000000"/>
              <w:right w:val="single" w:sz="4" w:space="0" w:color="FFFFFF"/>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c>
          <w:tcPr>
            <w:tcW w:w="1120" w:type="dxa"/>
            <w:vMerge/>
            <w:tcBorders>
              <w:top w:val="single" w:sz="4" w:space="0" w:color="auto"/>
              <w:left w:val="single" w:sz="4" w:space="0" w:color="FFFFFF"/>
              <w:bottom w:val="single" w:sz="4" w:space="0" w:color="000000"/>
              <w:right w:val="single" w:sz="4" w:space="0" w:color="FFFFFF"/>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c>
          <w:tcPr>
            <w:tcW w:w="1240" w:type="dxa"/>
            <w:vMerge/>
            <w:tcBorders>
              <w:top w:val="single" w:sz="4" w:space="0" w:color="auto"/>
              <w:left w:val="single" w:sz="4" w:space="0" w:color="FFFFFF"/>
              <w:bottom w:val="single" w:sz="4" w:space="0" w:color="000000"/>
              <w:right w:val="single" w:sz="4" w:space="0" w:color="FFFFFF"/>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c>
          <w:tcPr>
            <w:tcW w:w="1080" w:type="dxa"/>
            <w:vMerge/>
            <w:tcBorders>
              <w:top w:val="single" w:sz="4" w:space="0" w:color="auto"/>
              <w:left w:val="single" w:sz="4" w:space="0" w:color="FFFFFF"/>
              <w:bottom w:val="single" w:sz="4" w:space="0" w:color="000000"/>
              <w:right w:val="single" w:sz="4" w:space="0" w:color="FFFFFF"/>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c>
          <w:tcPr>
            <w:tcW w:w="1560" w:type="dxa"/>
            <w:vMerge/>
            <w:tcBorders>
              <w:top w:val="single" w:sz="4" w:space="0" w:color="auto"/>
              <w:left w:val="single" w:sz="4" w:space="0" w:color="FFFFFF"/>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January</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1.34</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1.21</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0.12</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9</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44.6</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February</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1.16</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1.06</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0.10</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8</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49.1</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March</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0.99</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0.87</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0.12</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12</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51.6</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April</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1.00</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0.90</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0.10</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10</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71.9</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May</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1.31</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1.12</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0.19</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15</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73.8</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June</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1.53</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1.32</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0.21</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14</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76.1</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July</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1.78</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1.68</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0.10</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5</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78.5</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August</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1.99</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1.81</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0.19</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9</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78.8</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September</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1.37</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1.15</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0.22</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16</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71.4</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October</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1.58</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1.29</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0.29</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19</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77.4</w:t>
            </w:r>
          </w:p>
        </w:tc>
      </w:tr>
      <w:tr w:rsidR="00C07873" w:rsidRPr="00C07873" w:rsidTr="00C07873">
        <w:trPr>
          <w:trHeight w:val="300"/>
          <w:jc w:val="center"/>
        </w:trPr>
        <w:tc>
          <w:tcPr>
            <w:tcW w:w="1100" w:type="dxa"/>
            <w:tcBorders>
              <w:top w:val="nil"/>
              <w:left w:val="single" w:sz="4" w:space="0" w:color="auto"/>
              <w:bottom w:val="nil"/>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November</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1.10</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1.07</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0.03</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2</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52.3</w:t>
            </w:r>
          </w:p>
        </w:tc>
      </w:tr>
      <w:tr w:rsidR="00C07873" w:rsidRPr="00C07873" w:rsidTr="00C07873">
        <w:trPr>
          <w:trHeight w:val="300"/>
          <w:jc w:val="center"/>
        </w:trPr>
        <w:tc>
          <w:tcPr>
            <w:tcW w:w="1100" w:type="dxa"/>
            <w:tcBorders>
              <w:top w:val="nil"/>
              <w:left w:val="single" w:sz="4" w:space="0" w:color="auto"/>
              <w:bottom w:val="nil"/>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December</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1.16</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1.12</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0.04</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3</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46.1</w:t>
            </w:r>
          </w:p>
        </w:tc>
      </w:tr>
      <w:tr w:rsidR="00C07873" w:rsidRPr="00C07873" w:rsidTr="00C07873">
        <w:trPr>
          <w:trHeight w:val="315"/>
          <w:jc w:val="center"/>
        </w:trPr>
        <w:tc>
          <w:tcPr>
            <w:tcW w:w="11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Average</w:t>
            </w:r>
          </w:p>
        </w:tc>
        <w:tc>
          <w:tcPr>
            <w:tcW w:w="120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1.36</w:t>
            </w:r>
          </w:p>
        </w:tc>
        <w:tc>
          <w:tcPr>
            <w:tcW w:w="112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1.22</w:t>
            </w:r>
          </w:p>
        </w:tc>
        <w:tc>
          <w:tcPr>
            <w:tcW w:w="124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0.14</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10</w:t>
            </w:r>
          </w:p>
        </w:tc>
        <w:tc>
          <w:tcPr>
            <w:tcW w:w="156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64.3</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Summer</w:t>
            </w:r>
          </w:p>
        </w:tc>
        <w:tc>
          <w:tcPr>
            <w:tcW w:w="120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1.59</w:t>
            </w:r>
          </w:p>
        </w:tc>
        <w:tc>
          <w:tcPr>
            <w:tcW w:w="112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1.39</w:t>
            </w:r>
          </w:p>
        </w:tc>
        <w:tc>
          <w:tcPr>
            <w:tcW w:w="124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0.20</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13</w:t>
            </w:r>
          </w:p>
        </w:tc>
        <w:tc>
          <w:tcPr>
            <w:tcW w:w="156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76.0</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Winter</w:t>
            </w:r>
          </w:p>
        </w:tc>
        <w:tc>
          <w:tcPr>
            <w:tcW w:w="120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1.12</w:t>
            </w:r>
          </w:p>
        </w:tc>
        <w:tc>
          <w:tcPr>
            <w:tcW w:w="112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1.04</w:t>
            </w:r>
          </w:p>
        </w:tc>
        <w:tc>
          <w:tcPr>
            <w:tcW w:w="124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0.08</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7</w:t>
            </w:r>
          </w:p>
        </w:tc>
        <w:tc>
          <w:tcPr>
            <w:tcW w:w="156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52.6</w:t>
            </w:r>
          </w:p>
        </w:tc>
      </w:tr>
    </w:tbl>
    <w:p w:rsidR="00364C9D" w:rsidRPr="00612923" w:rsidRDefault="00364C9D" w:rsidP="00364C9D">
      <w:pPr>
        <w:pStyle w:val="Heading2"/>
        <w:spacing w:before="360"/>
      </w:pPr>
      <w:bookmarkStart w:id="95" w:name="_Toc319245316"/>
      <w:bookmarkStart w:id="96" w:name="_Toc349193907"/>
      <w:bookmarkStart w:id="97" w:name="_Toc352567320"/>
      <w:r w:rsidRPr="00612923">
        <w:t>Average Weekday Load Impact by Month</w:t>
      </w:r>
      <w:bookmarkEnd w:id="94"/>
      <w:bookmarkEnd w:id="95"/>
      <w:bookmarkEnd w:id="96"/>
      <w:bookmarkEnd w:id="97"/>
    </w:p>
    <w:p w:rsidR="00364C9D" w:rsidRPr="00612923" w:rsidRDefault="00071D48" w:rsidP="00364C9D">
      <w:pPr>
        <w:pStyle w:val="BodyParagraph"/>
        <w:rPr>
          <w:b/>
        </w:rPr>
      </w:pPr>
      <w:fldSimple w:instr=" REF _Ref286686993  \* MERGEFORMAT ">
        <w:r w:rsidR="00911840" w:rsidRPr="00612923">
          <w:t xml:space="preserve">Table </w:t>
        </w:r>
        <w:r w:rsidR="00911840" w:rsidRPr="00612923">
          <w:rPr>
            <w:noProof/>
          </w:rPr>
          <w:t>7-</w:t>
        </w:r>
        <w:r w:rsidR="00911840">
          <w:rPr>
            <w:noProof/>
          </w:rPr>
          <w:t>2</w:t>
        </w:r>
      </w:fldSimple>
      <w:r w:rsidR="00364C9D" w:rsidRPr="00612923">
        <w:t xml:space="preserve"> shows the change in peak-period energy use for the average weekday for each month.  The average reduction across the</w:t>
      </w:r>
      <w:r w:rsidR="00E8267E" w:rsidRPr="00612923">
        <w:t xml:space="preserve"> year was 0.1</w:t>
      </w:r>
      <w:r w:rsidR="001739A4">
        <w:t>1</w:t>
      </w:r>
      <w:r w:rsidR="00E8267E" w:rsidRPr="00612923">
        <w:t xml:space="preserve"> kW, or </w:t>
      </w:r>
      <w:r w:rsidR="001739A4">
        <w:t>10</w:t>
      </w:r>
      <w:r w:rsidR="00364C9D" w:rsidRPr="00612923">
        <w:t>%.  It also shows the seasonal pattern of larger demand reductions during summer months, when peak prices are higher.  The average peak period reduction in the summer months i</w:t>
      </w:r>
      <w:r w:rsidR="00E8267E" w:rsidRPr="00612923">
        <w:t>s 0.15 kW or 12</w:t>
      </w:r>
      <w:r w:rsidR="00364C9D" w:rsidRPr="00612923">
        <w:t xml:space="preserve">%, while the average for winter months is </w:t>
      </w:r>
      <w:r w:rsidR="00E8267E" w:rsidRPr="00612923">
        <w:t>0.</w:t>
      </w:r>
      <w:r w:rsidR="001739A4">
        <w:t>08</w:t>
      </w:r>
      <w:r w:rsidR="00E8267E" w:rsidRPr="00612923">
        <w:t xml:space="preserve"> kW or </w:t>
      </w:r>
      <w:r w:rsidR="001739A4">
        <w:t>7</w:t>
      </w:r>
      <w:r w:rsidR="00364C9D" w:rsidRPr="00612923">
        <w:t xml:space="preserve">%.  The largest average weekday load reductions, 0.18 kW, occurred in August and September.  All of the results are statistically significant. </w:t>
      </w:r>
    </w:p>
    <w:p w:rsidR="00364C9D" w:rsidRDefault="00364C9D" w:rsidP="00364C9D">
      <w:pPr>
        <w:pStyle w:val="TableFigureCaption"/>
      </w:pPr>
      <w:bookmarkStart w:id="98" w:name="_Ref286686993"/>
      <w:r w:rsidRPr="00612923">
        <w:lastRenderedPageBreak/>
        <w:t>Table 7-</w:t>
      </w:r>
      <w:r w:rsidR="00071D48">
        <w:fldChar w:fldCharType="begin"/>
      </w:r>
      <w:r w:rsidR="00A22ACF">
        <w:instrText xml:space="preserve"> SEQ Table \* ARABIC \s 1 </w:instrText>
      </w:r>
      <w:r w:rsidR="00071D48">
        <w:fldChar w:fldCharType="separate"/>
      </w:r>
      <w:r w:rsidR="00911840">
        <w:rPr>
          <w:noProof/>
        </w:rPr>
        <w:t>2</w:t>
      </w:r>
      <w:r w:rsidR="00071D48">
        <w:rPr>
          <w:noProof/>
        </w:rPr>
        <w:fldChar w:fldCharType="end"/>
      </w:r>
      <w:bookmarkEnd w:id="98"/>
      <w:r w:rsidRPr="00612923">
        <w:t xml:space="preserve">: TOU Average Weekday Peak Period Load Reduction (12 PM to 6 PM) </w:t>
      </w:r>
      <w:r w:rsidRPr="00612923">
        <w:br/>
      </w:r>
      <w:r w:rsidR="00C07873">
        <w:t>November 2011</w:t>
      </w:r>
      <w:r w:rsidRPr="00612923">
        <w:t xml:space="preserve"> to October 2012</w:t>
      </w:r>
    </w:p>
    <w:tbl>
      <w:tblPr>
        <w:tblW w:w="7300" w:type="dxa"/>
        <w:jc w:val="center"/>
        <w:tblInd w:w="93" w:type="dxa"/>
        <w:tblLook w:val="04A0"/>
      </w:tblPr>
      <w:tblGrid>
        <w:gridCol w:w="1100"/>
        <w:gridCol w:w="1200"/>
        <w:gridCol w:w="1172"/>
        <w:gridCol w:w="1240"/>
        <w:gridCol w:w="1194"/>
        <w:gridCol w:w="1560"/>
      </w:tblGrid>
      <w:tr w:rsidR="00C07873" w:rsidRPr="00C07873" w:rsidTr="00C07873">
        <w:trPr>
          <w:trHeight w:val="825"/>
          <w:jc w:val="center"/>
        </w:trPr>
        <w:tc>
          <w:tcPr>
            <w:tcW w:w="1100" w:type="dxa"/>
            <w:vMerge w:val="restart"/>
            <w:tcBorders>
              <w:top w:val="single" w:sz="4" w:space="0" w:color="auto"/>
              <w:left w:val="single" w:sz="4" w:space="0" w:color="auto"/>
              <w:bottom w:val="single" w:sz="4" w:space="0" w:color="000000"/>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Month</w:t>
            </w:r>
          </w:p>
        </w:tc>
        <w:tc>
          <w:tcPr>
            <w:tcW w:w="120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Reference Load  (kW)</w:t>
            </w:r>
          </w:p>
        </w:tc>
        <w:tc>
          <w:tcPr>
            <w:tcW w:w="112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Estimated Load with DR (kW)</w:t>
            </w:r>
          </w:p>
        </w:tc>
        <w:tc>
          <w:tcPr>
            <w:tcW w:w="124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Load Impact (kW)</w:t>
            </w:r>
          </w:p>
        </w:tc>
        <w:tc>
          <w:tcPr>
            <w:tcW w:w="108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Percent Reduction (%)</w:t>
            </w:r>
          </w:p>
        </w:tc>
        <w:tc>
          <w:tcPr>
            <w:tcW w:w="1560" w:type="dxa"/>
            <w:vMerge w:val="restart"/>
            <w:tcBorders>
              <w:top w:val="single" w:sz="4" w:space="0" w:color="auto"/>
              <w:left w:val="single" w:sz="4" w:space="0" w:color="FFFFFF"/>
              <w:bottom w:val="single" w:sz="4" w:space="0" w:color="000000"/>
              <w:right w:val="single" w:sz="4" w:space="0" w:color="auto"/>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Average Temp.  (°F)</w:t>
            </w:r>
          </w:p>
        </w:tc>
      </w:tr>
      <w:tr w:rsidR="00C07873" w:rsidRPr="00C07873" w:rsidTr="00C07873">
        <w:trPr>
          <w:trHeight w:val="300"/>
          <w:jc w:val="center"/>
        </w:trPr>
        <w:tc>
          <w:tcPr>
            <w:tcW w:w="1100" w:type="dxa"/>
            <w:vMerge/>
            <w:tcBorders>
              <w:top w:val="single" w:sz="4" w:space="0" w:color="auto"/>
              <w:left w:val="single" w:sz="4" w:space="0" w:color="auto"/>
              <w:bottom w:val="single" w:sz="4" w:space="0" w:color="000000"/>
              <w:right w:val="single" w:sz="4" w:space="0" w:color="FFFFFF"/>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c>
          <w:tcPr>
            <w:tcW w:w="1200" w:type="dxa"/>
            <w:vMerge/>
            <w:tcBorders>
              <w:top w:val="single" w:sz="4" w:space="0" w:color="auto"/>
              <w:left w:val="single" w:sz="4" w:space="0" w:color="FFFFFF"/>
              <w:bottom w:val="single" w:sz="4" w:space="0" w:color="000000"/>
              <w:right w:val="single" w:sz="4" w:space="0" w:color="FFFFFF"/>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c>
          <w:tcPr>
            <w:tcW w:w="1120" w:type="dxa"/>
            <w:vMerge/>
            <w:tcBorders>
              <w:top w:val="single" w:sz="4" w:space="0" w:color="auto"/>
              <w:left w:val="single" w:sz="4" w:space="0" w:color="FFFFFF"/>
              <w:bottom w:val="single" w:sz="4" w:space="0" w:color="000000"/>
              <w:right w:val="single" w:sz="4" w:space="0" w:color="FFFFFF"/>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c>
          <w:tcPr>
            <w:tcW w:w="1240" w:type="dxa"/>
            <w:vMerge/>
            <w:tcBorders>
              <w:top w:val="single" w:sz="4" w:space="0" w:color="auto"/>
              <w:left w:val="single" w:sz="4" w:space="0" w:color="FFFFFF"/>
              <w:bottom w:val="single" w:sz="4" w:space="0" w:color="000000"/>
              <w:right w:val="single" w:sz="4" w:space="0" w:color="FFFFFF"/>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c>
          <w:tcPr>
            <w:tcW w:w="1080" w:type="dxa"/>
            <w:vMerge/>
            <w:tcBorders>
              <w:top w:val="single" w:sz="4" w:space="0" w:color="auto"/>
              <w:left w:val="single" w:sz="4" w:space="0" w:color="FFFFFF"/>
              <w:bottom w:val="single" w:sz="4" w:space="0" w:color="000000"/>
              <w:right w:val="single" w:sz="4" w:space="0" w:color="FFFFFF"/>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c>
          <w:tcPr>
            <w:tcW w:w="1560" w:type="dxa"/>
            <w:vMerge/>
            <w:tcBorders>
              <w:top w:val="single" w:sz="4" w:space="0" w:color="auto"/>
              <w:left w:val="single" w:sz="4" w:space="0" w:color="FFFFFF"/>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b/>
                <w:bCs/>
                <w:color w:val="FFFFFF"/>
                <w:sz w:val="20"/>
                <w:szCs w:val="20"/>
              </w:rPr>
            </w:pP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January</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1.14</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1.05</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0.09</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8</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50</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February</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1.03</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0.94</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0.09</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9</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53</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March</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1.03</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0.92</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0.11</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11</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54</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April</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0.98</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0.87</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0.10</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10</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58</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May</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1.03</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0.90</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0.12</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12</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65</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June</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1.21</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1.06</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0.15</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12</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69</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July</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1.37</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1.24</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0.13</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10</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72</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August</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1.54</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1.36</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0.18</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12</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74</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September</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1.24</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1.06</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0.18</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14</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70</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October</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1.05</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0.92</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0.13</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12</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66</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November</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1.07</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1.04</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0.03</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3</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53</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December</w:t>
            </w:r>
          </w:p>
        </w:tc>
        <w:tc>
          <w:tcPr>
            <w:tcW w:w="120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1.20</w:t>
            </w:r>
          </w:p>
        </w:tc>
        <w:tc>
          <w:tcPr>
            <w:tcW w:w="112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1.16</w:t>
            </w:r>
          </w:p>
        </w:tc>
        <w:tc>
          <w:tcPr>
            <w:tcW w:w="124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0.04</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3</w:t>
            </w:r>
          </w:p>
        </w:tc>
        <w:tc>
          <w:tcPr>
            <w:tcW w:w="156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48</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Average</w:t>
            </w:r>
          </w:p>
        </w:tc>
        <w:tc>
          <w:tcPr>
            <w:tcW w:w="120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1.16</w:t>
            </w:r>
          </w:p>
        </w:tc>
        <w:tc>
          <w:tcPr>
            <w:tcW w:w="112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1.04</w:t>
            </w:r>
          </w:p>
        </w:tc>
        <w:tc>
          <w:tcPr>
            <w:tcW w:w="124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0.11</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10</w:t>
            </w:r>
          </w:p>
        </w:tc>
        <w:tc>
          <w:tcPr>
            <w:tcW w:w="156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61</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Summer</w:t>
            </w:r>
          </w:p>
        </w:tc>
        <w:tc>
          <w:tcPr>
            <w:tcW w:w="120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1.24</w:t>
            </w:r>
          </w:p>
        </w:tc>
        <w:tc>
          <w:tcPr>
            <w:tcW w:w="112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1.09</w:t>
            </w:r>
          </w:p>
        </w:tc>
        <w:tc>
          <w:tcPr>
            <w:tcW w:w="124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0.15</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12</w:t>
            </w:r>
          </w:p>
        </w:tc>
        <w:tc>
          <w:tcPr>
            <w:tcW w:w="156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69</w:t>
            </w:r>
          </w:p>
        </w:tc>
      </w:tr>
      <w:tr w:rsidR="00C07873" w:rsidRPr="00C07873" w:rsidTr="00C07873">
        <w:trPr>
          <w:trHeight w:val="300"/>
          <w:jc w:val="center"/>
        </w:trPr>
        <w:tc>
          <w:tcPr>
            <w:tcW w:w="1100" w:type="dxa"/>
            <w:tcBorders>
              <w:top w:val="nil"/>
              <w:left w:val="single" w:sz="4" w:space="0" w:color="auto"/>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Winter</w:t>
            </w:r>
          </w:p>
        </w:tc>
        <w:tc>
          <w:tcPr>
            <w:tcW w:w="120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1.07</w:t>
            </w:r>
          </w:p>
        </w:tc>
        <w:tc>
          <w:tcPr>
            <w:tcW w:w="112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1.00</w:t>
            </w:r>
          </w:p>
        </w:tc>
        <w:tc>
          <w:tcPr>
            <w:tcW w:w="124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0.08</w:t>
            </w:r>
          </w:p>
        </w:tc>
        <w:tc>
          <w:tcPr>
            <w:tcW w:w="108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7</w:t>
            </w:r>
          </w:p>
        </w:tc>
        <w:tc>
          <w:tcPr>
            <w:tcW w:w="1560"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53</w:t>
            </w:r>
          </w:p>
        </w:tc>
      </w:tr>
    </w:tbl>
    <w:p w:rsidR="00364C9D" w:rsidRPr="00612923" w:rsidRDefault="00364C9D" w:rsidP="00364C9D">
      <w:pPr>
        <w:pStyle w:val="Heading2"/>
        <w:spacing w:before="360"/>
      </w:pPr>
      <w:bookmarkStart w:id="99" w:name="_Toc289273123"/>
      <w:bookmarkStart w:id="100" w:name="_Toc319245317"/>
      <w:bookmarkStart w:id="101" w:name="_Toc349193908"/>
      <w:bookmarkStart w:id="102" w:name="_Toc352567321"/>
      <w:r w:rsidRPr="00612923">
        <w:t>Load Impacts by Geographic Region</w:t>
      </w:r>
      <w:bookmarkEnd w:id="99"/>
      <w:bookmarkEnd w:id="100"/>
      <w:bookmarkEnd w:id="101"/>
      <w:bookmarkEnd w:id="102"/>
    </w:p>
    <w:p w:rsidR="00364C9D" w:rsidRPr="00612923" w:rsidRDefault="00364C9D" w:rsidP="00364C9D">
      <w:pPr>
        <w:pStyle w:val="BodyParagraph"/>
      </w:pPr>
      <w:r w:rsidRPr="00612923">
        <w:t>Results by Local Capacity Area (LCA) are less reliable than the overall results presented in the section above because sample sizes are smaller.  This is particularly true for monthly peak results, which include fewer days to estimate an impact than the average weekday results.</w:t>
      </w:r>
    </w:p>
    <w:p w:rsidR="00364C9D" w:rsidRPr="00612923" w:rsidRDefault="00364C9D" w:rsidP="00364C9D">
      <w:pPr>
        <w:pStyle w:val="BodyParagraph"/>
      </w:pPr>
      <w:r w:rsidRPr="00612923">
        <w:t xml:space="preserve">Table 7-3 shows the average impacts on the annual system peak day, August 12, 2012 by LCA.  These results are informative, but should be used with caution.  Table 7-4 shows the impacts for each LCA for the average weekday peak period during the summer and winter months.  The additional data leads to results that are statistically significant for local capacity areas Greater Bay Area, Sierra, Kern and Greater Fresno.  These areas reduce peak period electricity use by </w:t>
      </w:r>
      <w:r w:rsidR="00900A01" w:rsidRPr="00612923">
        <w:t>8</w:t>
      </w:r>
      <w:r w:rsidRPr="00612923">
        <w:t xml:space="preserve">% to </w:t>
      </w:r>
      <w:r w:rsidR="00900A01" w:rsidRPr="00612923">
        <w:t>18</w:t>
      </w:r>
      <w:r w:rsidRPr="00612923">
        <w:t xml:space="preserve">% during summer peak periods.  For the coastal areas such as the Northern Coast, the demand reductions are too small to be statistically significant.  </w:t>
      </w:r>
      <w:bookmarkStart w:id="103" w:name="_Ref286687002"/>
    </w:p>
    <w:p w:rsidR="00364C9D" w:rsidRPr="00612923" w:rsidRDefault="00364C9D">
      <w:pPr>
        <w:rPr>
          <w:rFonts w:ascii="Verdana" w:hAnsi="Verdana"/>
          <w:sz w:val="18"/>
        </w:rPr>
      </w:pPr>
      <w:r w:rsidRPr="00612923">
        <w:br w:type="page"/>
      </w:r>
    </w:p>
    <w:p w:rsidR="00364C9D" w:rsidRPr="00612923" w:rsidRDefault="00364C9D" w:rsidP="00364C9D">
      <w:pPr>
        <w:pStyle w:val="TableFigureCaption"/>
      </w:pPr>
      <w:r w:rsidRPr="00612923">
        <w:lastRenderedPageBreak/>
        <w:t>Table 7-</w:t>
      </w:r>
      <w:r w:rsidR="00071D48">
        <w:fldChar w:fldCharType="begin"/>
      </w:r>
      <w:r w:rsidR="00A22ACF">
        <w:instrText xml:space="preserve"> SEQ Table \* ARABIC \s 1 </w:instrText>
      </w:r>
      <w:r w:rsidR="00071D48">
        <w:fldChar w:fldCharType="separate"/>
      </w:r>
      <w:r w:rsidR="00911840">
        <w:rPr>
          <w:noProof/>
        </w:rPr>
        <w:t>3</w:t>
      </w:r>
      <w:r w:rsidR="00071D48">
        <w:rPr>
          <w:noProof/>
        </w:rPr>
        <w:fldChar w:fldCharType="end"/>
      </w:r>
      <w:bookmarkEnd w:id="103"/>
      <w:r w:rsidRPr="00612923">
        <w:t>: TOU Peak Period (12 PM to 6 PM) Load Reductions by Local Capacity Area</w:t>
      </w:r>
      <w:r w:rsidRPr="00612923">
        <w:br/>
        <w:t>Annual Peak Day (August 12, 2012)</w:t>
      </w:r>
    </w:p>
    <w:tbl>
      <w:tblPr>
        <w:tblW w:w="7860" w:type="dxa"/>
        <w:jc w:val="center"/>
        <w:tblInd w:w="93" w:type="dxa"/>
        <w:tblLook w:val="04A0"/>
      </w:tblPr>
      <w:tblGrid>
        <w:gridCol w:w="1680"/>
        <w:gridCol w:w="1184"/>
        <w:gridCol w:w="1172"/>
        <w:gridCol w:w="1240"/>
        <w:gridCol w:w="1194"/>
        <w:gridCol w:w="1560"/>
      </w:tblGrid>
      <w:tr w:rsidR="00364C9D" w:rsidRPr="00612923" w:rsidTr="00364C9D">
        <w:trPr>
          <w:trHeight w:val="1020"/>
          <w:jc w:val="center"/>
        </w:trPr>
        <w:tc>
          <w:tcPr>
            <w:tcW w:w="1680"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364C9D" w:rsidRPr="00612923" w:rsidRDefault="00364C9D" w:rsidP="00254844">
            <w:pPr>
              <w:pStyle w:val="TableHeader"/>
              <w:keepNext/>
            </w:pPr>
            <w:r w:rsidRPr="00612923">
              <w:t>LCA</w:t>
            </w:r>
          </w:p>
        </w:tc>
        <w:tc>
          <w:tcPr>
            <w:tcW w:w="1180" w:type="dxa"/>
            <w:tcBorders>
              <w:top w:val="single" w:sz="4" w:space="0" w:color="auto"/>
              <w:left w:val="nil"/>
              <w:bottom w:val="single" w:sz="4" w:space="0" w:color="auto"/>
              <w:right w:val="single" w:sz="4" w:space="0" w:color="FFFFFF"/>
            </w:tcBorders>
            <w:shd w:val="clear" w:color="000000" w:fill="1F497D"/>
            <w:vAlign w:val="center"/>
            <w:hideMark/>
          </w:tcPr>
          <w:p w:rsidR="00364C9D" w:rsidRPr="00612923" w:rsidRDefault="00364C9D" w:rsidP="00254844">
            <w:pPr>
              <w:pStyle w:val="TableHeader"/>
              <w:keepNext/>
            </w:pPr>
            <w:r w:rsidRPr="00612923">
              <w:t>Reference Load (kW)</w:t>
            </w:r>
          </w:p>
        </w:tc>
        <w:tc>
          <w:tcPr>
            <w:tcW w:w="1120" w:type="dxa"/>
            <w:tcBorders>
              <w:top w:val="single" w:sz="4" w:space="0" w:color="auto"/>
              <w:left w:val="nil"/>
              <w:bottom w:val="single" w:sz="4" w:space="0" w:color="auto"/>
              <w:right w:val="single" w:sz="4" w:space="0" w:color="FFFFFF"/>
            </w:tcBorders>
            <w:shd w:val="clear" w:color="000000" w:fill="1F497D"/>
            <w:vAlign w:val="center"/>
            <w:hideMark/>
          </w:tcPr>
          <w:p w:rsidR="00364C9D" w:rsidRPr="00612923" w:rsidRDefault="00364C9D" w:rsidP="00254844">
            <w:pPr>
              <w:pStyle w:val="TableHeader"/>
              <w:keepNext/>
            </w:pPr>
            <w:r w:rsidRPr="00612923">
              <w:t>Estimated Load with DR (kW)</w:t>
            </w:r>
          </w:p>
        </w:tc>
        <w:tc>
          <w:tcPr>
            <w:tcW w:w="1240" w:type="dxa"/>
            <w:tcBorders>
              <w:top w:val="single" w:sz="4" w:space="0" w:color="auto"/>
              <w:left w:val="nil"/>
              <w:bottom w:val="single" w:sz="4" w:space="0" w:color="auto"/>
              <w:right w:val="single" w:sz="4" w:space="0" w:color="FFFFFF"/>
            </w:tcBorders>
            <w:shd w:val="clear" w:color="000000" w:fill="1F497D"/>
            <w:vAlign w:val="center"/>
            <w:hideMark/>
          </w:tcPr>
          <w:p w:rsidR="00364C9D" w:rsidRPr="00612923" w:rsidRDefault="00364C9D" w:rsidP="00254844">
            <w:pPr>
              <w:pStyle w:val="TableHeader"/>
              <w:keepNext/>
            </w:pPr>
            <w:r w:rsidRPr="00612923">
              <w:t>Load Impact (kW)</w:t>
            </w:r>
          </w:p>
        </w:tc>
        <w:tc>
          <w:tcPr>
            <w:tcW w:w="1080" w:type="dxa"/>
            <w:tcBorders>
              <w:top w:val="single" w:sz="4" w:space="0" w:color="auto"/>
              <w:left w:val="nil"/>
              <w:bottom w:val="single" w:sz="4" w:space="0" w:color="auto"/>
              <w:right w:val="single" w:sz="4" w:space="0" w:color="FFFFFF"/>
            </w:tcBorders>
            <w:shd w:val="clear" w:color="000000" w:fill="1F497D"/>
            <w:vAlign w:val="center"/>
            <w:hideMark/>
          </w:tcPr>
          <w:p w:rsidR="00364C9D" w:rsidRPr="00612923" w:rsidRDefault="00364C9D" w:rsidP="00254844">
            <w:pPr>
              <w:pStyle w:val="TableHeader"/>
              <w:keepNext/>
            </w:pPr>
            <w:r w:rsidRPr="00612923">
              <w:t>Percent Reduction (%)</w:t>
            </w:r>
          </w:p>
        </w:tc>
        <w:tc>
          <w:tcPr>
            <w:tcW w:w="1560" w:type="dxa"/>
            <w:tcBorders>
              <w:top w:val="single" w:sz="4" w:space="0" w:color="auto"/>
              <w:left w:val="nil"/>
              <w:bottom w:val="single" w:sz="4" w:space="0" w:color="auto"/>
              <w:right w:val="single" w:sz="4" w:space="0" w:color="auto"/>
            </w:tcBorders>
            <w:shd w:val="clear" w:color="000000" w:fill="1F497D"/>
            <w:vAlign w:val="center"/>
            <w:hideMark/>
          </w:tcPr>
          <w:p w:rsidR="00364C9D" w:rsidRPr="00612923" w:rsidRDefault="00364C9D" w:rsidP="00254844">
            <w:pPr>
              <w:pStyle w:val="TableHeader"/>
              <w:keepNext/>
            </w:pPr>
            <w:r w:rsidRPr="00612923">
              <w:t>Average Temp.  (°F)</w:t>
            </w:r>
          </w:p>
        </w:tc>
      </w:tr>
      <w:tr w:rsidR="00364C9D" w:rsidRPr="00612923" w:rsidTr="00364C9D">
        <w:trPr>
          <w:trHeight w:val="300"/>
          <w:jc w:val="center"/>
        </w:trPr>
        <w:tc>
          <w:tcPr>
            <w:tcW w:w="1680" w:type="dxa"/>
            <w:tcBorders>
              <w:top w:val="nil"/>
              <w:left w:val="single" w:sz="4" w:space="0" w:color="auto"/>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Greater Bay Area</w:t>
            </w:r>
          </w:p>
        </w:tc>
        <w:tc>
          <w:tcPr>
            <w:tcW w:w="118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1.48</w:t>
            </w:r>
          </w:p>
        </w:tc>
        <w:tc>
          <w:tcPr>
            <w:tcW w:w="112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1.28</w:t>
            </w:r>
          </w:p>
        </w:tc>
        <w:tc>
          <w:tcPr>
            <w:tcW w:w="124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0.21</w:t>
            </w:r>
          </w:p>
        </w:tc>
        <w:tc>
          <w:tcPr>
            <w:tcW w:w="1080" w:type="dxa"/>
            <w:tcBorders>
              <w:top w:val="nil"/>
              <w:left w:val="nil"/>
              <w:bottom w:val="single" w:sz="4" w:space="0" w:color="auto"/>
              <w:right w:val="single" w:sz="4" w:space="0" w:color="auto"/>
            </w:tcBorders>
            <w:shd w:val="clear" w:color="000000" w:fill="FFFFFF"/>
            <w:noWrap/>
            <w:vAlign w:val="center"/>
            <w:hideMark/>
          </w:tcPr>
          <w:p w:rsidR="00364C9D" w:rsidRPr="00612923" w:rsidRDefault="00364C9D" w:rsidP="00254844">
            <w:pPr>
              <w:pStyle w:val="TableText"/>
              <w:keepNext/>
              <w:rPr>
                <w:rFonts w:cs="Arial"/>
                <w:szCs w:val="18"/>
              </w:rPr>
            </w:pPr>
            <w:r w:rsidRPr="00612923">
              <w:rPr>
                <w:rFonts w:cs="Arial"/>
                <w:szCs w:val="18"/>
              </w:rPr>
              <w:t>14</w:t>
            </w:r>
          </w:p>
        </w:tc>
        <w:tc>
          <w:tcPr>
            <w:tcW w:w="1560" w:type="dxa"/>
            <w:tcBorders>
              <w:top w:val="nil"/>
              <w:left w:val="nil"/>
              <w:bottom w:val="single" w:sz="4" w:space="0" w:color="auto"/>
              <w:right w:val="single" w:sz="4" w:space="0" w:color="auto"/>
            </w:tcBorders>
            <w:shd w:val="clear" w:color="auto" w:fill="auto"/>
            <w:noWrap/>
            <w:vAlign w:val="center"/>
            <w:hideMark/>
          </w:tcPr>
          <w:p w:rsidR="00364C9D" w:rsidRPr="00612923" w:rsidRDefault="008928C9" w:rsidP="00254844">
            <w:pPr>
              <w:pStyle w:val="TableText"/>
              <w:keepNext/>
            </w:pPr>
            <w:r w:rsidRPr="00612923">
              <w:t>73</w:t>
            </w:r>
          </w:p>
        </w:tc>
      </w:tr>
      <w:tr w:rsidR="00364C9D" w:rsidRPr="00612923" w:rsidTr="00364C9D">
        <w:trPr>
          <w:trHeight w:val="300"/>
          <w:jc w:val="center"/>
        </w:trPr>
        <w:tc>
          <w:tcPr>
            <w:tcW w:w="1680" w:type="dxa"/>
            <w:tcBorders>
              <w:top w:val="nil"/>
              <w:left w:val="single" w:sz="4" w:space="0" w:color="auto"/>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Greater Fresno</w:t>
            </w:r>
          </w:p>
        </w:tc>
        <w:tc>
          <w:tcPr>
            <w:tcW w:w="118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3.26</w:t>
            </w:r>
          </w:p>
        </w:tc>
        <w:tc>
          <w:tcPr>
            <w:tcW w:w="112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3.07</w:t>
            </w:r>
          </w:p>
        </w:tc>
        <w:tc>
          <w:tcPr>
            <w:tcW w:w="124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0.19</w:t>
            </w:r>
          </w:p>
        </w:tc>
        <w:tc>
          <w:tcPr>
            <w:tcW w:w="1080" w:type="dxa"/>
            <w:tcBorders>
              <w:top w:val="nil"/>
              <w:left w:val="nil"/>
              <w:bottom w:val="single" w:sz="4" w:space="0" w:color="auto"/>
              <w:right w:val="single" w:sz="4" w:space="0" w:color="auto"/>
            </w:tcBorders>
            <w:shd w:val="clear" w:color="000000" w:fill="FFFFFF"/>
            <w:noWrap/>
            <w:vAlign w:val="center"/>
            <w:hideMark/>
          </w:tcPr>
          <w:p w:rsidR="00364C9D" w:rsidRPr="00612923" w:rsidRDefault="008928C9" w:rsidP="00254844">
            <w:pPr>
              <w:pStyle w:val="TableText"/>
              <w:keepNext/>
              <w:rPr>
                <w:rFonts w:cs="Arial"/>
                <w:szCs w:val="18"/>
              </w:rPr>
            </w:pPr>
            <w:r w:rsidRPr="00612923">
              <w:rPr>
                <w:rFonts w:cs="Arial"/>
                <w:szCs w:val="18"/>
              </w:rPr>
              <w:t>6</w:t>
            </w:r>
          </w:p>
        </w:tc>
        <w:tc>
          <w:tcPr>
            <w:tcW w:w="1560" w:type="dxa"/>
            <w:tcBorders>
              <w:top w:val="nil"/>
              <w:left w:val="nil"/>
              <w:bottom w:val="single" w:sz="4" w:space="0" w:color="auto"/>
              <w:right w:val="single" w:sz="4" w:space="0" w:color="auto"/>
            </w:tcBorders>
            <w:shd w:val="clear" w:color="auto" w:fill="auto"/>
            <w:noWrap/>
            <w:vAlign w:val="center"/>
            <w:hideMark/>
          </w:tcPr>
          <w:p w:rsidR="00364C9D" w:rsidRPr="00612923" w:rsidRDefault="008928C9" w:rsidP="00254844">
            <w:pPr>
              <w:pStyle w:val="TableText"/>
              <w:keepNext/>
            </w:pPr>
            <w:r w:rsidRPr="00612923">
              <w:t>92</w:t>
            </w:r>
          </w:p>
        </w:tc>
      </w:tr>
      <w:tr w:rsidR="00364C9D" w:rsidRPr="00612923" w:rsidTr="00364C9D">
        <w:trPr>
          <w:trHeight w:val="300"/>
          <w:jc w:val="center"/>
        </w:trPr>
        <w:tc>
          <w:tcPr>
            <w:tcW w:w="1680" w:type="dxa"/>
            <w:tcBorders>
              <w:top w:val="nil"/>
              <w:left w:val="single" w:sz="4" w:space="0" w:color="auto"/>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Kern</w:t>
            </w:r>
          </w:p>
        </w:tc>
        <w:tc>
          <w:tcPr>
            <w:tcW w:w="118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4.20</w:t>
            </w:r>
          </w:p>
        </w:tc>
        <w:tc>
          <w:tcPr>
            <w:tcW w:w="112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3.40</w:t>
            </w:r>
          </w:p>
        </w:tc>
        <w:tc>
          <w:tcPr>
            <w:tcW w:w="124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0.80</w:t>
            </w:r>
          </w:p>
        </w:tc>
        <w:tc>
          <w:tcPr>
            <w:tcW w:w="1080" w:type="dxa"/>
            <w:tcBorders>
              <w:top w:val="nil"/>
              <w:left w:val="nil"/>
              <w:bottom w:val="single" w:sz="4" w:space="0" w:color="auto"/>
              <w:right w:val="single" w:sz="4" w:space="0" w:color="auto"/>
            </w:tcBorders>
            <w:shd w:val="clear" w:color="000000" w:fill="FFFFFF"/>
            <w:noWrap/>
            <w:vAlign w:val="center"/>
            <w:hideMark/>
          </w:tcPr>
          <w:p w:rsidR="00364C9D" w:rsidRPr="00612923" w:rsidRDefault="00364C9D" w:rsidP="00254844">
            <w:pPr>
              <w:pStyle w:val="TableText"/>
              <w:keepNext/>
              <w:rPr>
                <w:rFonts w:cs="Arial"/>
                <w:szCs w:val="18"/>
              </w:rPr>
            </w:pPr>
            <w:r w:rsidRPr="00612923">
              <w:rPr>
                <w:rFonts w:cs="Arial"/>
                <w:szCs w:val="18"/>
              </w:rPr>
              <w:t>19</w:t>
            </w:r>
          </w:p>
        </w:tc>
        <w:tc>
          <w:tcPr>
            <w:tcW w:w="156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94</w:t>
            </w:r>
          </w:p>
        </w:tc>
      </w:tr>
      <w:tr w:rsidR="00364C9D" w:rsidRPr="00612923" w:rsidTr="00364C9D">
        <w:trPr>
          <w:trHeight w:val="300"/>
          <w:jc w:val="center"/>
        </w:trPr>
        <w:tc>
          <w:tcPr>
            <w:tcW w:w="1680" w:type="dxa"/>
            <w:tcBorders>
              <w:top w:val="nil"/>
              <w:left w:val="single" w:sz="4" w:space="0" w:color="auto"/>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Northern Coast</w:t>
            </w:r>
          </w:p>
        </w:tc>
        <w:tc>
          <w:tcPr>
            <w:tcW w:w="118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1.50</w:t>
            </w:r>
          </w:p>
        </w:tc>
        <w:tc>
          <w:tcPr>
            <w:tcW w:w="112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1.39</w:t>
            </w:r>
          </w:p>
        </w:tc>
        <w:tc>
          <w:tcPr>
            <w:tcW w:w="124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0.11</w:t>
            </w:r>
          </w:p>
        </w:tc>
        <w:tc>
          <w:tcPr>
            <w:tcW w:w="1080" w:type="dxa"/>
            <w:tcBorders>
              <w:top w:val="nil"/>
              <w:left w:val="nil"/>
              <w:bottom w:val="single" w:sz="4" w:space="0" w:color="auto"/>
              <w:right w:val="single" w:sz="4" w:space="0" w:color="auto"/>
            </w:tcBorders>
            <w:shd w:val="clear" w:color="000000" w:fill="FFFFFF"/>
            <w:noWrap/>
            <w:vAlign w:val="center"/>
            <w:hideMark/>
          </w:tcPr>
          <w:p w:rsidR="00364C9D" w:rsidRPr="00612923" w:rsidRDefault="00364C9D" w:rsidP="00254844">
            <w:pPr>
              <w:pStyle w:val="TableText"/>
              <w:keepNext/>
              <w:rPr>
                <w:rFonts w:cs="Arial"/>
                <w:szCs w:val="18"/>
              </w:rPr>
            </w:pPr>
            <w:r w:rsidRPr="00612923">
              <w:rPr>
                <w:rFonts w:cs="Arial"/>
                <w:szCs w:val="18"/>
              </w:rPr>
              <w:t>7</w:t>
            </w:r>
          </w:p>
        </w:tc>
        <w:tc>
          <w:tcPr>
            <w:tcW w:w="1560" w:type="dxa"/>
            <w:tcBorders>
              <w:top w:val="nil"/>
              <w:left w:val="nil"/>
              <w:bottom w:val="single" w:sz="4" w:space="0" w:color="auto"/>
              <w:right w:val="single" w:sz="4" w:space="0" w:color="auto"/>
            </w:tcBorders>
            <w:shd w:val="clear" w:color="auto" w:fill="auto"/>
            <w:noWrap/>
            <w:vAlign w:val="center"/>
            <w:hideMark/>
          </w:tcPr>
          <w:p w:rsidR="00364C9D" w:rsidRPr="00612923" w:rsidRDefault="008928C9" w:rsidP="00254844">
            <w:pPr>
              <w:pStyle w:val="TableText"/>
              <w:keepNext/>
            </w:pPr>
            <w:r w:rsidRPr="00612923">
              <w:t>77</w:t>
            </w:r>
          </w:p>
        </w:tc>
      </w:tr>
      <w:tr w:rsidR="00364C9D" w:rsidRPr="00612923" w:rsidTr="00364C9D">
        <w:trPr>
          <w:trHeight w:val="300"/>
          <w:jc w:val="center"/>
        </w:trPr>
        <w:tc>
          <w:tcPr>
            <w:tcW w:w="1680" w:type="dxa"/>
            <w:tcBorders>
              <w:top w:val="nil"/>
              <w:left w:val="single" w:sz="4" w:space="0" w:color="auto"/>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Other</w:t>
            </w:r>
          </w:p>
        </w:tc>
        <w:tc>
          <w:tcPr>
            <w:tcW w:w="118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1.93</w:t>
            </w:r>
          </w:p>
        </w:tc>
        <w:tc>
          <w:tcPr>
            <w:tcW w:w="112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1.66</w:t>
            </w:r>
          </w:p>
        </w:tc>
        <w:tc>
          <w:tcPr>
            <w:tcW w:w="124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0.27</w:t>
            </w:r>
          </w:p>
        </w:tc>
        <w:tc>
          <w:tcPr>
            <w:tcW w:w="1080" w:type="dxa"/>
            <w:tcBorders>
              <w:top w:val="nil"/>
              <w:left w:val="nil"/>
              <w:bottom w:val="single" w:sz="4" w:space="0" w:color="auto"/>
              <w:right w:val="single" w:sz="4" w:space="0" w:color="auto"/>
            </w:tcBorders>
            <w:shd w:val="clear" w:color="000000" w:fill="FFFFFF"/>
            <w:noWrap/>
            <w:vAlign w:val="center"/>
            <w:hideMark/>
          </w:tcPr>
          <w:p w:rsidR="00364C9D" w:rsidRPr="00612923" w:rsidRDefault="00364C9D" w:rsidP="00254844">
            <w:pPr>
              <w:pStyle w:val="TableText"/>
              <w:keepNext/>
              <w:rPr>
                <w:rFonts w:cs="Arial"/>
                <w:szCs w:val="18"/>
              </w:rPr>
            </w:pPr>
            <w:r w:rsidRPr="00612923">
              <w:rPr>
                <w:rFonts w:cs="Arial"/>
                <w:szCs w:val="18"/>
              </w:rPr>
              <w:t>1</w:t>
            </w:r>
            <w:r w:rsidR="008928C9" w:rsidRPr="00612923">
              <w:rPr>
                <w:rFonts w:cs="Arial"/>
                <w:szCs w:val="18"/>
              </w:rPr>
              <w:t>4</w:t>
            </w:r>
          </w:p>
        </w:tc>
        <w:tc>
          <w:tcPr>
            <w:tcW w:w="1560" w:type="dxa"/>
            <w:tcBorders>
              <w:top w:val="nil"/>
              <w:left w:val="nil"/>
              <w:bottom w:val="single" w:sz="4" w:space="0" w:color="auto"/>
              <w:right w:val="single" w:sz="4" w:space="0" w:color="auto"/>
            </w:tcBorders>
            <w:shd w:val="clear" w:color="auto" w:fill="auto"/>
            <w:noWrap/>
            <w:vAlign w:val="center"/>
            <w:hideMark/>
          </w:tcPr>
          <w:p w:rsidR="00364C9D" w:rsidRPr="00612923" w:rsidRDefault="008928C9" w:rsidP="00254844">
            <w:pPr>
              <w:pStyle w:val="TableText"/>
              <w:keepNext/>
            </w:pPr>
            <w:r w:rsidRPr="00612923">
              <w:t>77</w:t>
            </w:r>
          </w:p>
        </w:tc>
      </w:tr>
      <w:tr w:rsidR="00364C9D" w:rsidRPr="00612923" w:rsidTr="00364C9D">
        <w:trPr>
          <w:trHeight w:val="300"/>
          <w:jc w:val="center"/>
        </w:trPr>
        <w:tc>
          <w:tcPr>
            <w:tcW w:w="1680" w:type="dxa"/>
            <w:tcBorders>
              <w:top w:val="nil"/>
              <w:left w:val="single" w:sz="4" w:space="0" w:color="auto"/>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Sierra</w:t>
            </w:r>
          </w:p>
        </w:tc>
        <w:tc>
          <w:tcPr>
            <w:tcW w:w="118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2.82</w:t>
            </w:r>
          </w:p>
        </w:tc>
        <w:tc>
          <w:tcPr>
            <w:tcW w:w="112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2.84</w:t>
            </w:r>
          </w:p>
        </w:tc>
        <w:tc>
          <w:tcPr>
            <w:tcW w:w="1240" w:type="dxa"/>
            <w:tcBorders>
              <w:top w:val="nil"/>
              <w:left w:val="nil"/>
              <w:bottom w:val="single" w:sz="4" w:space="0" w:color="auto"/>
              <w:right w:val="single" w:sz="4" w:space="0" w:color="auto"/>
            </w:tcBorders>
            <w:shd w:val="clear" w:color="auto" w:fill="auto"/>
            <w:noWrap/>
            <w:vAlign w:val="center"/>
            <w:hideMark/>
          </w:tcPr>
          <w:p w:rsidR="00364C9D" w:rsidRPr="00612923" w:rsidRDefault="00131DE3" w:rsidP="00254844">
            <w:pPr>
              <w:pStyle w:val="TableText"/>
              <w:keepNext/>
            </w:pPr>
            <w:r>
              <w:t>0</w:t>
            </w:r>
          </w:p>
        </w:tc>
        <w:tc>
          <w:tcPr>
            <w:tcW w:w="1080" w:type="dxa"/>
            <w:tcBorders>
              <w:top w:val="nil"/>
              <w:left w:val="nil"/>
              <w:bottom w:val="single" w:sz="4" w:space="0" w:color="auto"/>
              <w:right w:val="single" w:sz="4" w:space="0" w:color="auto"/>
            </w:tcBorders>
            <w:shd w:val="clear" w:color="000000" w:fill="FFFFFF"/>
            <w:noWrap/>
            <w:vAlign w:val="center"/>
            <w:hideMark/>
          </w:tcPr>
          <w:p w:rsidR="00364C9D" w:rsidRPr="00612923" w:rsidRDefault="00131DE3" w:rsidP="00254844">
            <w:pPr>
              <w:pStyle w:val="TableText"/>
              <w:keepNext/>
              <w:rPr>
                <w:rFonts w:cs="Arial"/>
                <w:szCs w:val="18"/>
              </w:rPr>
            </w:pPr>
            <w:r>
              <w:rPr>
                <w:rFonts w:cs="Arial"/>
                <w:szCs w:val="18"/>
              </w:rPr>
              <w:t>0</w:t>
            </w:r>
          </w:p>
        </w:tc>
        <w:tc>
          <w:tcPr>
            <w:tcW w:w="156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88</w:t>
            </w:r>
          </w:p>
        </w:tc>
      </w:tr>
      <w:tr w:rsidR="00364C9D" w:rsidRPr="00612923" w:rsidTr="00364C9D">
        <w:trPr>
          <w:trHeight w:val="300"/>
          <w:jc w:val="center"/>
        </w:trPr>
        <w:tc>
          <w:tcPr>
            <w:tcW w:w="1680" w:type="dxa"/>
            <w:tcBorders>
              <w:top w:val="nil"/>
              <w:left w:val="single" w:sz="4" w:space="0" w:color="auto"/>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Stockton</w:t>
            </w:r>
          </w:p>
        </w:tc>
        <w:tc>
          <w:tcPr>
            <w:tcW w:w="118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2.57</w:t>
            </w:r>
          </w:p>
        </w:tc>
        <w:tc>
          <w:tcPr>
            <w:tcW w:w="112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2.51</w:t>
            </w:r>
          </w:p>
        </w:tc>
        <w:tc>
          <w:tcPr>
            <w:tcW w:w="124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254844">
            <w:pPr>
              <w:pStyle w:val="TableText"/>
              <w:keepNext/>
            </w:pPr>
            <w:r w:rsidRPr="00612923">
              <w:t>0.06</w:t>
            </w:r>
          </w:p>
        </w:tc>
        <w:tc>
          <w:tcPr>
            <w:tcW w:w="1080" w:type="dxa"/>
            <w:tcBorders>
              <w:top w:val="nil"/>
              <w:left w:val="nil"/>
              <w:bottom w:val="single" w:sz="4" w:space="0" w:color="auto"/>
              <w:right w:val="single" w:sz="4" w:space="0" w:color="auto"/>
            </w:tcBorders>
            <w:shd w:val="clear" w:color="000000" w:fill="FFFFFF"/>
            <w:noWrap/>
            <w:vAlign w:val="center"/>
            <w:hideMark/>
          </w:tcPr>
          <w:p w:rsidR="00364C9D" w:rsidRPr="00612923" w:rsidRDefault="00364C9D" w:rsidP="00254844">
            <w:pPr>
              <w:pStyle w:val="TableText"/>
              <w:keepNext/>
              <w:rPr>
                <w:rFonts w:cs="Arial"/>
                <w:szCs w:val="18"/>
              </w:rPr>
            </w:pPr>
            <w:r w:rsidRPr="00612923">
              <w:rPr>
                <w:rFonts w:cs="Arial"/>
                <w:szCs w:val="18"/>
              </w:rPr>
              <w:t>2</w:t>
            </w:r>
          </w:p>
        </w:tc>
        <w:tc>
          <w:tcPr>
            <w:tcW w:w="1560" w:type="dxa"/>
            <w:tcBorders>
              <w:top w:val="nil"/>
              <w:left w:val="nil"/>
              <w:bottom w:val="single" w:sz="4" w:space="0" w:color="auto"/>
              <w:right w:val="single" w:sz="4" w:space="0" w:color="auto"/>
            </w:tcBorders>
            <w:shd w:val="clear" w:color="auto" w:fill="auto"/>
            <w:noWrap/>
            <w:vAlign w:val="center"/>
            <w:hideMark/>
          </w:tcPr>
          <w:p w:rsidR="00364C9D" w:rsidRPr="00612923" w:rsidRDefault="008928C9" w:rsidP="00254844">
            <w:pPr>
              <w:pStyle w:val="TableText"/>
              <w:keepNext/>
            </w:pPr>
            <w:r w:rsidRPr="00612923">
              <w:t>88</w:t>
            </w:r>
          </w:p>
        </w:tc>
      </w:tr>
      <w:tr w:rsidR="00364C9D" w:rsidRPr="00612923" w:rsidTr="00364C9D">
        <w:trPr>
          <w:trHeight w:val="300"/>
          <w:jc w:val="center"/>
        </w:trPr>
        <w:tc>
          <w:tcPr>
            <w:tcW w:w="1680" w:type="dxa"/>
            <w:tcBorders>
              <w:top w:val="nil"/>
              <w:left w:val="single" w:sz="4" w:space="0" w:color="auto"/>
              <w:bottom w:val="single" w:sz="4" w:space="0" w:color="auto"/>
              <w:right w:val="single" w:sz="4" w:space="0" w:color="auto"/>
            </w:tcBorders>
            <w:shd w:val="clear" w:color="000000" w:fill="FFFFFF"/>
            <w:noWrap/>
            <w:vAlign w:val="center"/>
            <w:hideMark/>
          </w:tcPr>
          <w:p w:rsidR="00364C9D" w:rsidRPr="00612923" w:rsidRDefault="00364C9D" w:rsidP="00364C9D">
            <w:pPr>
              <w:pStyle w:val="TableText"/>
              <w:rPr>
                <w:rFonts w:cs="Arial"/>
                <w:b/>
                <w:bCs/>
                <w:szCs w:val="18"/>
              </w:rPr>
            </w:pPr>
            <w:r w:rsidRPr="00612923">
              <w:rPr>
                <w:rFonts w:cs="Arial"/>
                <w:b/>
                <w:bCs/>
                <w:szCs w:val="18"/>
              </w:rPr>
              <w:t>All Customers</w:t>
            </w:r>
          </w:p>
        </w:tc>
        <w:tc>
          <w:tcPr>
            <w:tcW w:w="118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364C9D">
            <w:pPr>
              <w:pStyle w:val="TableText"/>
              <w:rPr>
                <w:b/>
                <w:bCs/>
              </w:rPr>
            </w:pPr>
            <w:r w:rsidRPr="00612923">
              <w:rPr>
                <w:b/>
                <w:bCs/>
              </w:rPr>
              <w:t>1.99</w:t>
            </w:r>
          </w:p>
        </w:tc>
        <w:tc>
          <w:tcPr>
            <w:tcW w:w="112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364C9D">
            <w:pPr>
              <w:pStyle w:val="TableText"/>
              <w:rPr>
                <w:b/>
                <w:bCs/>
              </w:rPr>
            </w:pPr>
            <w:r w:rsidRPr="00612923">
              <w:rPr>
                <w:b/>
                <w:bCs/>
              </w:rPr>
              <w:t>1.81</w:t>
            </w:r>
          </w:p>
        </w:tc>
        <w:tc>
          <w:tcPr>
            <w:tcW w:w="1240" w:type="dxa"/>
            <w:tcBorders>
              <w:top w:val="nil"/>
              <w:left w:val="nil"/>
              <w:bottom w:val="single" w:sz="4" w:space="0" w:color="auto"/>
              <w:right w:val="single" w:sz="4" w:space="0" w:color="auto"/>
            </w:tcBorders>
            <w:shd w:val="clear" w:color="auto" w:fill="auto"/>
            <w:noWrap/>
            <w:vAlign w:val="center"/>
            <w:hideMark/>
          </w:tcPr>
          <w:p w:rsidR="00364C9D" w:rsidRPr="00612923" w:rsidRDefault="00364C9D" w:rsidP="00364C9D">
            <w:pPr>
              <w:pStyle w:val="TableText"/>
              <w:rPr>
                <w:b/>
                <w:bCs/>
              </w:rPr>
            </w:pPr>
            <w:r w:rsidRPr="00612923">
              <w:rPr>
                <w:b/>
                <w:bCs/>
              </w:rPr>
              <w:t>0.19</w:t>
            </w:r>
          </w:p>
        </w:tc>
        <w:tc>
          <w:tcPr>
            <w:tcW w:w="1080" w:type="dxa"/>
            <w:tcBorders>
              <w:top w:val="nil"/>
              <w:left w:val="nil"/>
              <w:bottom w:val="single" w:sz="4" w:space="0" w:color="auto"/>
              <w:right w:val="single" w:sz="4" w:space="0" w:color="auto"/>
            </w:tcBorders>
            <w:shd w:val="clear" w:color="000000" w:fill="FFFFFF"/>
            <w:noWrap/>
            <w:vAlign w:val="center"/>
            <w:hideMark/>
          </w:tcPr>
          <w:p w:rsidR="00364C9D" w:rsidRPr="00612923" w:rsidRDefault="00364C9D" w:rsidP="00364C9D">
            <w:pPr>
              <w:pStyle w:val="TableText"/>
              <w:rPr>
                <w:rFonts w:cs="Arial"/>
                <w:b/>
                <w:bCs/>
                <w:szCs w:val="18"/>
              </w:rPr>
            </w:pPr>
            <w:r w:rsidRPr="00612923">
              <w:rPr>
                <w:rFonts w:cs="Arial"/>
                <w:b/>
                <w:bCs/>
                <w:szCs w:val="18"/>
              </w:rPr>
              <w:t>9</w:t>
            </w:r>
          </w:p>
        </w:tc>
        <w:tc>
          <w:tcPr>
            <w:tcW w:w="1560" w:type="dxa"/>
            <w:tcBorders>
              <w:top w:val="nil"/>
              <w:left w:val="nil"/>
              <w:bottom w:val="single" w:sz="4" w:space="0" w:color="auto"/>
              <w:right w:val="single" w:sz="4" w:space="0" w:color="auto"/>
            </w:tcBorders>
            <w:shd w:val="clear" w:color="auto" w:fill="auto"/>
            <w:noWrap/>
            <w:vAlign w:val="center"/>
            <w:hideMark/>
          </w:tcPr>
          <w:p w:rsidR="00364C9D" w:rsidRPr="00612923" w:rsidRDefault="008928C9" w:rsidP="00364C9D">
            <w:pPr>
              <w:pStyle w:val="TableText"/>
              <w:rPr>
                <w:b/>
                <w:bCs/>
              </w:rPr>
            </w:pPr>
            <w:r w:rsidRPr="00612923">
              <w:rPr>
                <w:b/>
                <w:bCs/>
              </w:rPr>
              <w:t>79</w:t>
            </w:r>
          </w:p>
        </w:tc>
      </w:tr>
    </w:tbl>
    <w:p w:rsidR="00364C9D" w:rsidRDefault="00364C9D" w:rsidP="00364C9D">
      <w:pPr>
        <w:pStyle w:val="TableFigureCaption"/>
        <w:spacing w:before="360"/>
      </w:pPr>
      <w:r w:rsidRPr="00612923">
        <w:t xml:space="preserve">Table 7-4: TOU Load Reductions for Peak Period (12 PM to 6 PM) </w:t>
      </w:r>
      <w:r w:rsidRPr="00612923">
        <w:br/>
        <w:t>by Season and Local Capacity Area</w:t>
      </w:r>
    </w:p>
    <w:tbl>
      <w:tblPr>
        <w:tblW w:w="9171" w:type="dxa"/>
        <w:jc w:val="center"/>
        <w:tblInd w:w="93" w:type="dxa"/>
        <w:tblLook w:val="04A0"/>
      </w:tblPr>
      <w:tblGrid>
        <w:gridCol w:w="1295"/>
        <w:gridCol w:w="1755"/>
        <w:gridCol w:w="1184"/>
        <w:gridCol w:w="1172"/>
        <w:gridCol w:w="1141"/>
        <w:gridCol w:w="1194"/>
        <w:gridCol w:w="1430"/>
      </w:tblGrid>
      <w:tr w:rsidR="00C07873" w:rsidRPr="00C07873" w:rsidTr="00931F6D">
        <w:trPr>
          <w:trHeight w:val="1515"/>
          <w:jc w:val="center"/>
        </w:trPr>
        <w:tc>
          <w:tcPr>
            <w:tcW w:w="1295"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Season</w:t>
            </w:r>
          </w:p>
        </w:tc>
        <w:tc>
          <w:tcPr>
            <w:tcW w:w="1755" w:type="dxa"/>
            <w:tcBorders>
              <w:top w:val="single" w:sz="4" w:space="0" w:color="auto"/>
              <w:left w:val="nil"/>
              <w:bottom w:val="single" w:sz="4" w:space="0" w:color="auto"/>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LCA</w:t>
            </w:r>
          </w:p>
        </w:tc>
        <w:tc>
          <w:tcPr>
            <w:tcW w:w="1184" w:type="dxa"/>
            <w:tcBorders>
              <w:top w:val="single" w:sz="4" w:space="0" w:color="auto"/>
              <w:left w:val="nil"/>
              <w:bottom w:val="single" w:sz="4" w:space="0" w:color="auto"/>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Reference Load (kW)</w:t>
            </w:r>
          </w:p>
        </w:tc>
        <w:tc>
          <w:tcPr>
            <w:tcW w:w="1172" w:type="dxa"/>
            <w:tcBorders>
              <w:top w:val="single" w:sz="4" w:space="0" w:color="auto"/>
              <w:left w:val="nil"/>
              <w:bottom w:val="single" w:sz="4" w:space="0" w:color="auto"/>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Estimated Load with DR (kW)</w:t>
            </w:r>
          </w:p>
        </w:tc>
        <w:tc>
          <w:tcPr>
            <w:tcW w:w="1141" w:type="dxa"/>
            <w:tcBorders>
              <w:top w:val="single" w:sz="4" w:space="0" w:color="auto"/>
              <w:left w:val="nil"/>
              <w:bottom w:val="single" w:sz="4" w:space="0" w:color="auto"/>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Load Impact (kW)</w:t>
            </w:r>
          </w:p>
        </w:tc>
        <w:tc>
          <w:tcPr>
            <w:tcW w:w="1194" w:type="dxa"/>
            <w:tcBorders>
              <w:top w:val="single" w:sz="4" w:space="0" w:color="auto"/>
              <w:left w:val="nil"/>
              <w:bottom w:val="single" w:sz="4" w:space="0" w:color="auto"/>
              <w:right w:val="single" w:sz="4" w:space="0" w:color="FFFFFF"/>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Percent Reduction (%)</w:t>
            </w:r>
          </w:p>
        </w:tc>
        <w:tc>
          <w:tcPr>
            <w:tcW w:w="1430" w:type="dxa"/>
            <w:tcBorders>
              <w:top w:val="single" w:sz="4" w:space="0" w:color="auto"/>
              <w:left w:val="nil"/>
              <w:bottom w:val="single" w:sz="4" w:space="0" w:color="auto"/>
              <w:right w:val="single" w:sz="4" w:space="0" w:color="auto"/>
            </w:tcBorders>
            <w:shd w:val="clear" w:color="000000" w:fill="1F497D"/>
            <w:vAlign w:val="center"/>
            <w:hideMark/>
          </w:tcPr>
          <w:p w:rsidR="00C07873" w:rsidRPr="00C07873" w:rsidRDefault="00C07873" w:rsidP="00254844">
            <w:pPr>
              <w:keepNext/>
              <w:spacing w:after="0" w:line="240" w:lineRule="auto"/>
              <w:jc w:val="center"/>
              <w:rPr>
                <w:rFonts w:ascii="Arial" w:eastAsia="Times New Roman" w:hAnsi="Arial" w:cs="Arial"/>
                <w:b/>
                <w:bCs/>
                <w:color w:val="FFFFFF"/>
                <w:sz w:val="20"/>
                <w:szCs w:val="20"/>
              </w:rPr>
            </w:pPr>
            <w:r w:rsidRPr="00C07873">
              <w:rPr>
                <w:rFonts w:ascii="Arial" w:eastAsia="Times New Roman" w:hAnsi="Arial" w:cs="Arial"/>
                <w:b/>
                <w:bCs/>
                <w:color w:val="FFFFFF"/>
                <w:sz w:val="20"/>
                <w:szCs w:val="20"/>
              </w:rPr>
              <w:t>Average Temp.  (°F)</w:t>
            </w:r>
          </w:p>
        </w:tc>
      </w:tr>
      <w:tr w:rsidR="00C07873" w:rsidRPr="00C07873" w:rsidTr="00931F6D">
        <w:trPr>
          <w:trHeight w:val="300"/>
          <w:jc w:val="center"/>
        </w:trPr>
        <w:tc>
          <w:tcPr>
            <w:tcW w:w="1295" w:type="dxa"/>
            <w:vMerge w:val="restart"/>
            <w:tcBorders>
              <w:top w:val="nil"/>
              <w:left w:val="single" w:sz="4" w:space="0" w:color="auto"/>
              <w:bottom w:val="single" w:sz="4" w:space="0" w:color="000000"/>
              <w:right w:val="single" w:sz="4" w:space="0" w:color="auto"/>
            </w:tcBorders>
            <w:shd w:val="clear" w:color="auto" w:fill="auto"/>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Summer (May-Oct)</w:t>
            </w: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Greater Bay Area</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0.93</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0.86</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0.08</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8</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67</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Greater Fresno</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1.89</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1.64</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0.25</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13</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79</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Kern</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2.36</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1.92</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0.44</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19</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79</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Northern Coast</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1.09</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0.98</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0.12</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11</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67</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Other</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1.20</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1.07</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0.13</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11</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68</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Sierra</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1.61</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1.33</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0.27</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17</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72</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Stockton</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1.63</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1.33</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0.30</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18</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74</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b/>
                <w:bCs/>
                <w:color w:val="000000"/>
              </w:rPr>
            </w:pPr>
            <w:r w:rsidRPr="00C07873">
              <w:rPr>
                <w:rFonts w:ascii="Calibri" w:eastAsia="Times New Roman" w:hAnsi="Calibri" w:cs="Times New Roman"/>
                <w:b/>
                <w:bCs/>
                <w:color w:val="000000"/>
              </w:rPr>
              <w:t>All</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b/>
                <w:bCs/>
                <w:color w:val="000000"/>
              </w:rPr>
            </w:pPr>
            <w:r w:rsidRPr="00C07873">
              <w:rPr>
                <w:rFonts w:ascii="Calibri" w:eastAsia="Times New Roman" w:hAnsi="Calibri" w:cs="Times New Roman"/>
                <w:b/>
                <w:bCs/>
                <w:color w:val="000000"/>
              </w:rPr>
              <w:t>1.24</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b/>
                <w:bCs/>
                <w:color w:val="000000"/>
              </w:rPr>
            </w:pPr>
            <w:r w:rsidRPr="00C07873">
              <w:rPr>
                <w:rFonts w:ascii="Calibri" w:eastAsia="Times New Roman" w:hAnsi="Calibri" w:cs="Times New Roman"/>
                <w:b/>
                <w:bCs/>
                <w:color w:val="000000"/>
              </w:rPr>
              <w:t>1.09</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b/>
                <w:bCs/>
                <w:color w:val="000000"/>
              </w:rPr>
            </w:pPr>
            <w:r w:rsidRPr="00C07873">
              <w:rPr>
                <w:rFonts w:ascii="Calibri" w:eastAsia="Times New Roman" w:hAnsi="Calibri" w:cs="Times New Roman"/>
                <w:b/>
                <w:bCs/>
                <w:color w:val="000000"/>
              </w:rPr>
              <w:t>0.15</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12</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b/>
                <w:bCs/>
                <w:color w:val="000000"/>
              </w:rPr>
            </w:pPr>
            <w:r w:rsidRPr="00C07873">
              <w:rPr>
                <w:rFonts w:ascii="Calibri" w:eastAsia="Times New Roman" w:hAnsi="Calibri" w:cs="Times New Roman"/>
                <w:b/>
                <w:bCs/>
                <w:color w:val="000000"/>
              </w:rPr>
              <w:t>69</w:t>
            </w:r>
          </w:p>
        </w:tc>
      </w:tr>
      <w:tr w:rsidR="00C07873" w:rsidRPr="00C07873" w:rsidTr="00931F6D">
        <w:trPr>
          <w:trHeight w:val="300"/>
          <w:jc w:val="center"/>
        </w:trPr>
        <w:tc>
          <w:tcPr>
            <w:tcW w:w="1295" w:type="dxa"/>
            <w:vMerge w:val="restart"/>
            <w:tcBorders>
              <w:top w:val="nil"/>
              <w:left w:val="single" w:sz="4" w:space="0" w:color="auto"/>
              <w:bottom w:val="single" w:sz="4" w:space="0" w:color="000000"/>
              <w:right w:val="single" w:sz="4" w:space="0" w:color="auto"/>
            </w:tcBorders>
            <w:shd w:val="clear" w:color="auto" w:fill="auto"/>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Winter (Nov-Apr)</w:t>
            </w: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Greater Bay Area</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0.87</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0.82</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0.05</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6</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55</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Greater Fresno</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1.09</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0.98</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0.11</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10</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56</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Kern</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1.07</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0.95</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0.12</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11</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56</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Northern Coast</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1.15</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1.03</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0.12</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10</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51</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Other</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1.06</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0.96</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0.10</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9</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53</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Sierra</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1.32</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1.15</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0.17</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13</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51</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254844">
            <w:pPr>
              <w:keepNext/>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Stockton</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1.31</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1.11</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0.20</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254844">
            <w:pPr>
              <w:keepNext/>
              <w:spacing w:after="0" w:line="240" w:lineRule="auto"/>
              <w:jc w:val="center"/>
              <w:rPr>
                <w:rFonts w:ascii="Arial" w:eastAsia="Times New Roman" w:hAnsi="Arial" w:cs="Arial"/>
                <w:color w:val="000000"/>
                <w:sz w:val="18"/>
                <w:szCs w:val="18"/>
              </w:rPr>
            </w:pPr>
            <w:r w:rsidRPr="00C07873">
              <w:rPr>
                <w:rFonts w:ascii="Arial" w:eastAsia="Times New Roman" w:hAnsi="Arial" w:cs="Arial"/>
                <w:color w:val="000000"/>
                <w:sz w:val="18"/>
                <w:szCs w:val="18"/>
              </w:rPr>
              <w:t>16</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254844">
            <w:pPr>
              <w:keepNext/>
              <w:spacing w:after="0" w:line="240" w:lineRule="auto"/>
              <w:jc w:val="center"/>
              <w:rPr>
                <w:rFonts w:ascii="Calibri" w:eastAsia="Times New Roman" w:hAnsi="Calibri" w:cs="Times New Roman"/>
                <w:color w:val="000000"/>
              </w:rPr>
            </w:pPr>
            <w:r w:rsidRPr="00C07873">
              <w:rPr>
                <w:rFonts w:ascii="Calibri" w:eastAsia="Times New Roman" w:hAnsi="Calibri" w:cs="Times New Roman"/>
                <w:color w:val="000000"/>
              </w:rPr>
              <w:t>53</w:t>
            </w:r>
          </w:p>
        </w:tc>
      </w:tr>
      <w:tr w:rsidR="00C07873" w:rsidRPr="00C07873" w:rsidTr="00931F6D">
        <w:trPr>
          <w:trHeight w:val="300"/>
          <w:jc w:val="center"/>
        </w:trPr>
        <w:tc>
          <w:tcPr>
            <w:tcW w:w="1295" w:type="dxa"/>
            <w:vMerge/>
            <w:tcBorders>
              <w:top w:val="nil"/>
              <w:left w:val="single" w:sz="4" w:space="0" w:color="auto"/>
              <w:bottom w:val="single" w:sz="4" w:space="0" w:color="000000"/>
              <w:right w:val="single" w:sz="4" w:space="0" w:color="auto"/>
            </w:tcBorders>
            <w:vAlign w:val="center"/>
            <w:hideMark/>
          </w:tcPr>
          <w:p w:rsidR="00C07873" w:rsidRPr="00C07873" w:rsidRDefault="00C07873" w:rsidP="00C07873">
            <w:pPr>
              <w:spacing w:after="0" w:line="240" w:lineRule="auto"/>
              <w:rPr>
                <w:rFonts w:ascii="Arial" w:eastAsia="Times New Roman" w:hAnsi="Arial" w:cs="Arial"/>
                <w:color w:val="000000"/>
                <w:sz w:val="18"/>
                <w:szCs w:val="18"/>
              </w:rPr>
            </w:pPr>
          </w:p>
        </w:tc>
        <w:tc>
          <w:tcPr>
            <w:tcW w:w="1755"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C07873">
            <w:pPr>
              <w:spacing w:after="0" w:line="240" w:lineRule="auto"/>
              <w:jc w:val="center"/>
              <w:rPr>
                <w:rFonts w:ascii="Calibri" w:eastAsia="Times New Roman" w:hAnsi="Calibri" w:cs="Times New Roman"/>
                <w:b/>
                <w:bCs/>
                <w:color w:val="000000"/>
              </w:rPr>
            </w:pPr>
            <w:r w:rsidRPr="00C07873">
              <w:rPr>
                <w:rFonts w:ascii="Calibri" w:eastAsia="Times New Roman" w:hAnsi="Calibri" w:cs="Times New Roman"/>
                <w:b/>
                <w:bCs/>
                <w:color w:val="000000"/>
              </w:rPr>
              <w:t>All</w:t>
            </w:r>
          </w:p>
        </w:tc>
        <w:tc>
          <w:tcPr>
            <w:tcW w:w="1184"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C07873">
            <w:pPr>
              <w:spacing w:after="0" w:line="240" w:lineRule="auto"/>
              <w:jc w:val="center"/>
              <w:rPr>
                <w:rFonts w:ascii="Calibri" w:eastAsia="Times New Roman" w:hAnsi="Calibri" w:cs="Times New Roman"/>
                <w:b/>
                <w:bCs/>
                <w:color w:val="000000"/>
              </w:rPr>
            </w:pPr>
            <w:r w:rsidRPr="00C07873">
              <w:rPr>
                <w:rFonts w:ascii="Calibri" w:eastAsia="Times New Roman" w:hAnsi="Calibri" w:cs="Times New Roman"/>
                <w:b/>
                <w:bCs/>
                <w:color w:val="000000"/>
              </w:rPr>
              <w:t>1.04</w:t>
            </w:r>
          </w:p>
        </w:tc>
        <w:tc>
          <w:tcPr>
            <w:tcW w:w="1172"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C07873">
            <w:pPr>
              <w:spacing w:after="0" w:line="240" w:lineRule="auto"/>
              <w:jc w:val="center"/>
              <w:rPr>
                <w:rFonts w:ascii="Calibri" w:eastAsia="Times New Roman" w:hAnsi="Calibri" w:cs="Times New Roman"/>
                <w:b/>
                <w:bCs/>
                <w:color w:val="000000"/>
              </w:rPr>
            </w:pPr>
            <w:r w:rsidRPr="00C07873">
              <w:rPr>
                <w:rFonts w:ascii="Calibri" w:eastAsia="Times New Roman" w:hAnsi="Calibri" w:cs="Times New Roman"/>
                <w:b/>
                <w:bCs/>
                <w:color w:val="000000"/>
              </w:rPr>
              <w:t>0.95</w:t>
            </w:r>
          </w:p>
        </w:tc>
        <w:tc>
          <w:tcPr>
            <w:tcW w:w="1141"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C07873">
            <w:pPr>
              <w:spacing w:after="0" w:line="240" w:lineRule="auto"/>
              <w:jc w:val="center"/>
              <w:rPr>
                <w:rFonts w:ascii="Calibri" w:eastAsia="Times New Roman" w:hAnsi="Calibri" w:cs="Times New Roman"/>
                <w:b/>
                <w:bCs/>
                <w:color w:val="000000"/>
              </w:rPr>
            </w:pPr>
            <w:r w:rsidRPr="00C07873">
              <w:rPr>
                <w:rFonts w:ascii="Calibri" w:eastAsia="Times New Roman" w:hAnsi="Calibri" w:cs="Times New Roman"/>
                <w:b/>
                <w:bCs/>
                <w:color w:val="000000"/>
              </w:rPr>
              <w:t>0.10</w:t>
            </w:r>
          </w:p>
        </w:tc>
        <w:tc>
          <w:tcPr>
            <w:tcW w:w="1194" w:type="dxa"/>
            <w:tcBorders>
              <w:top w:val="nil"/>
              <w:left w:val="nil"/>
              <w:bottom w:val="single" w:sz="4" w:space="0" w:color="auto"/>
              <w:right w:val="single" w:sz="4" w:space="0" w:color="auto"/>
            </w:tcBorders>
            <w:shd w:val="clear" w:color="000000" w:fill="FFFFFF"/>
            <w:noWrap/>
            <w:vAlign w:val="center"/>
            <w:hideMark/>
          </w:tcPr>
          <w:p w:rsidR="00C07873" w:rsidRPr="00C07873" w:rsidRDefault="00C07873" w:rsidP="00C07873">
            <w:pPr>
              <w:spacing w:after="0" w:line="240" w:lineRule="auto"/>
              <w:jc w:val="center"/>
              <w:rPr>
                <w:rFonts w:ascii="Arial" w:eastAsia="Times New Roman" w:hAnsi="Arial" w:cs="Arial"/>
                <w:b/>
                <w:bCs/>
                <w:color w:val="000000"/>
                <w:sz w:val="18"/>
                <w:szCs w:val="18"/>
              </w:rPr>
            </w:pPr>
            <w:r w:rsidRPr="00C07873">
              <w:rPr>
                <w:rFonts w:ascii="Arial" w:eastAsia="Times New Roman" w:hAnsi="Arial" w:cs="Arial"/>
                <w:b/>
                <w:bCs/>
                <w:color w:val="000000"/>
                <w:sz w:val="18"/>
                <w:szCs w:val="18"/>
              </w:rPr>
              <w:t>9</w:t>
            </w:r>
          </w:p>
        </w:tc>
        <w:tc>
          <w:tcPr>
            <w:tcW w:w="1430" w:type="dxa"/>
            <w:tcBorders>
              <w:top w:val="nil"/>
              <w:left w:val="nil"/>
              <w:bottom w:val="single" w:sz="4" w:space="0" w:color="auto"/>
              <w:right w:val="single" w:sz="4" w:space="0" w:color="auto"/>
            </w:tcBorders>
            <w:shd w:val="clear" w:color="auto" w:fill="auto"/>
            <w:noWrap/>
            <w:vAlign w:val="center"/>
            <w:hideMark/>
          </w:tcPr>
          <w:p w:rsidR="00C07873" w:rsidRPr="00C07873" w:rsidRDefault="00C07873" w:rsidP="00C07873">
            <w:pPr>
              <w:spacing w:after="0" w:line="240" w:lineRule="auto"/>
              <w:jc w:val="center"/>
              <w:rPr>
                <w:rFonts w:ascii="Calibri" w:eastAsia="Times New Roman" w:hAnsi="Calibri" w:cs="Times New Roman"/>
                <w:b/>
                <w:bCs/>
                <w:color w:val="000000"/>
              </w:rPr>
            </w:pPr>
            <w:r w:rsidRPr="00C07873">
              <w:rPr>
                <w:rFonts w:ascii="Calibri" w:eastAsia="Times New Roman" w:hAnsi="Calibri" w:cs="Times New Roman"/>
                <w:b/>
                <w:bCs/>
                <w:color w:val="000000"/>
              </w:rPr>
              <w:t>54</w:t>
            </w:r>
          </w:p>
        </w:tc>
      </w:tr>
    </w:tbl>
    <w:p w:rsidR="00C07873" w:rsidRDefault="00C07873" w:rsidP="00931F6D">
      <w:pPr>
        <w:pStyle w:val="BodyParaAfterTableFigure"/>
      </w:pPr>
    </w:p>
    <w:p w:rsidR="00364C9D" w:rsidRPr="00612923" w:rsidRDefault="00364C9D" w:rsidP="00364C9D">
      <w:pPr>
        <w:pStyle w:val="BodyParagraph"/>
        <w:rPr>
          <w:rFonts w:eastAsiaTheme="majorEastAsia" w:cstheme="majorBidi"/>
          <w:color w:val="403152" w:themeColor="accent4" w:themeShade="80"/>
          <w:sz w:val="26"/>
          <w:szCs w:val="26"/>
        </w:rPr>
      </w:pPr>
      <w:bookmarkStart w:id="104" w:name="_Toc289273125"/>
      <w:bookmarkStart w:id="105" w:name="_Toc319245319"/>
      <w:bookmarkStart w:id="106" w:name="_Toc349193909"/>
    </w:p>
    <w:p w:rsidR="00364C9D" w:rsidRPr="00612923" w:rsidRDefault="00364C9D" w:rsidP="00364C9D">
      <w:pPr>
        <w:pStyle w:val="Heading2"/>
        <w:spacing w:before="360"/>
      </w:pPr>
      <w:bookmarkStart w:id="107" w:name="_Toc352567322"/>
      <w:r w:rsidRPr="00612923">
        <w:lastRenderedPageBreak/>
        <w:t>Bill Impacts for TOU</w:t>
      </w:r>
      <w:bookmarkEnd w:id="104"/>
      <w:bookmarkEnd w:id="105"/>
      <w:bookmarkEnd w:id="106"/>
      <w:bookmarkEnd w:id="107"/>
    </w:p>
    <w:p w:rsidR="00364C9D" w:rsidRPr="00612923" w:rsidRDefault="00364C9D" w:rsidP="00364C9D">
      <w:pPr>
        <w:pStyle w:val="BodyParagraph"/>
      </w:pPr>
      <w:r w:rsidRPr="00612923">
        <w:t xml:space="preserve">Table 7-5 shows the average monthly, seasonal and annual bills under rates E-1, E-6 and E-7 for the sample of currently enrolled E-6 and E-7 customers.  In addition, the table shows the percent change in bills these customers experienced by being on E-6 or E-7; it also shows the percentage of customers that experienced lower bills.  The average customer experienced bill decreases in all months.  Bill decreases were greatest during the winter, when, on average, customers savings of </w:t>
      </w:r>
      <w:r w:rsidR="002B35A0" w:rsidRPr="00612923">
        <w:t>1</w:t>
      </w:r>
      <w:r w:rsidR="002B35A0">
        <w:t>7</w:t>
      </w:r>
      <w:r w:rsidRPr="00612923">
        <w:t xml:space="preserve">%.  Over the course of the entire year, the average customer in the sample saved about </w:t>
      </w:r>
      <w:r w:rsidR="002B35A0">
        <w:t>8</w:t>
      </w:r>
      <w:r w:rsidRPr="00612923">
        <w:t>%, while 76% of customers experienced bill savings of some kind.  90% of customers exper</w:t>
      </w:r>
      <w:r w:rsidR="00102328" w:rsidRPr="00612923">
        <w:t>ienced bill decreases up to 22% and increases up to 17</w:t>
      </w:r>
      <w:r w:rsidRPr="00612923">
        <w:t>%.  Most customers experience bill savings because they have responded to the price signals inherent in the E-6 and E-7 tariffs: they consume less electricity during expensive peak periods than they do during cheaper off-peak periods.</w:t>
      </w:r>
    </w:p>
    <w:p w:rsidR="00364C9D" w:rsidRPr="00612923" w:rsidRDefault="00364C9D" w:rsidP="00364C9D">
      <w:pPr>
        <w:pStyle w:val="BodyParagraph"/>
      </w:pPr>
      <w:r w:rsidRPr="00612923">
        <w:t>Bills were calculated using hourly interval data for the sample of 3</w:t>
      </w:r>
      <w:r w:rsidR="00102328" w:rsidRPr="00612923">
        <w:t>,</w:t>
      </w:r>
      <w:r w:rsidRPr="00612923">
        <w:t xml:space="preserve">019 currently enrolled E-6 and E-7 customers.  This interval data was used to calculate both the E-1, E-6 and E-7 bills because the model used to determine the E-6 and E-7 impacts does not predict what customers’ usage would have been if they had been E-1 customers.  Thus, both bills in Table 7-5 are calculated using the E-6 and E-7 sample’s actual load profiles.  </w:t>
      </w:r>
    </w:p>
    <w:p w:rsidR="00364C9D" w:rsidRPr="00612923" w:rsidRDefault="00364C9D" w:rsidP="00364C9D">
      <w:pPr>
        <w:pStyle w:val="BodyParagraph"/>
      </w:pPr>
      <w:r w:rsidRPr="00612923">
        <w:t>The rate schedules used to calculate bills were those in effect in the summer of 2012.  Table 2-</w:t>
      </w:r>
      <w:r w:rsidR="008928C9" w:rsidRPr="00612923">
        <w:t>3</w:t>
      </w:r>
      <w:r w:rsidRPr="00612923">
        <w:t xml:space="preserve"> shows the rates used to calculate the E-6 and E-7 bills.  The 315 CARE customers in the sample are billed under the CARE rate.  Thus, the bills shown in Table 7-5 average both CARE and non-CARE bills.  In addition, customers are allotted a baseline allowance based on their end usage (basic service versus all-electric service) and climate zone, as is the case when PG&amp;E calculates actual customer</w:t>
      </w:r>
      <w:r w:rsidR="00D83CDA" w:rsidRPr="00612923">
        <w:t> </w:t>
      </w:r>
      <w:r w:rsidRPr="00612923">
        <w:t>bills.</w:t>
      </w:r>
    </w:p>
    <w:p w:rsidR="00364C9D" w:rsidRPr="00612923" w:rsidRDefault="00364C9D">
      <w:pPr>
        <w:rPr>
          <w:rFonts w:ascii="Verdana" w:hAnsi="Verdana"/>
          <w:sz w:val="18"/>
        </w:rPr>
      </w:pPr>
      <w:r w:rsidRPr="00612923">
        <w:br w:type="page"/>
      </w:r>
    </w:p>
    <w:p w:rsidR="00364C9D" w:rsidRDefault="00364C9D" w:rsidP="00364C9D">
      <w:pPr>
        <w:pStyle w:val="TableFigureCaption"/>
      </w:pPr>
      <w:r w:rsidRPr="00612923">
        <w:lastRenderedPageBreak/>
        <w:t>Table 7-5: TOU Treatment Group Customer Bill Impacts by Month</w:t>
      </w:r>
    </w:p>
    <w:tbl>
      <w:tblPr>
        <w:tblW w:w="8980" w:type="dxa"/>
        <w:jc w:val="center"/>
        <w:tblInd w:w="93" w:type="dxa"/>
        <w:tblLook w:val="04A0"/>
      </w:tblPr>
      <w:tblGrid>
        <w:gridCol w:w="1680"/>
        <w:gridCol w:w="1100"/>
        <w:gridCol w:w="1200"/>
        <w:gridCol w:w="1120"/>
        <w:gridCol w:w="1240"/>
        <w:gridCol w:w="1080"/>
        <w:gridCol w:w="1560"/>
      </w:tblGrid>
      <w:tr w:rsidR="002B35A0" w:rsidRPr="002B35A0" w:rsidTr="002B35A0">
        <w:trPr>
          <w:trHeight w:val="825"/>
          <w:jc w:val="center"/>
        </w:trPr>
        <w:tc>
          <w:tcPr>
            <w:tcW w:w="1680" w:type="dxa"/>
            <w:vMerge w:val="restart"/>
            <w:tcBorders>
              <w:top w:val="single" w:sz="4" w:space="0" w:color="auto"/>
              <w:left w:val="single" w:sz="4" w:space="0" w:color="auto"/>
              <w:bottom w:val="single" w:sz="4" w:space="0" w:color="000000"/>
              <w:right w:val="single" w:sz="4" w:space="0" w:color="FFFFFF"/>
            </w:tcBorders>
            <w:shd w:val="clear" w:color="000000" w:fill="1F497D"/>
            <w:vAlign w:val="center"/>
            <w:hideMark/>
          </w:tcPr>
          <w:p w:rsidR="002B35A0" w:rsidRPr="002B35A0" w:rsidRDefault="002B35A0" w:rsidP="00254844">
            <w:pPr>
              <w:keepNext/>
              <w:spacing w:after="0" w:line="240" w:lineRule="auto"/>
              <w:jc w:val="center"/>
              <w:rPr>
                <w:rFonts w:ascii="Arial" w:eastAsia="Times New Roman" w:hAnsi="Arial" w:cs="Arial"/>
                <w:b/>
                <w:bCs/>
                <w:color w:val="FFFFFF"/>
                <w:sz w:val="20"/>
                <w:szCs w:val="20"/>
              </w:rPr>
            </w:pPr>
            <w:r w:rsidRPr="002B35A0">
              <w:rPr>
                <w:rFonts w:ascii="Arial" w:eastAsia="Times New Roman" w:hAnsi="Arial" w:cs="Arial"/>
                <w:b/>
                <w:bCs/>
                <w:color w:val="FFFFFF"/>
                <w:sz w:val="20"/>
                <w:szCs w:val="20"/>
              </w:rPr>
              <w:t>Month</w:t>
            </w:r>
          </w:p>
        </w:tc>
        <w:tc>
          <w:tcPr>
            <w:tcW w:w="2300" w:type="dxa"/>
            <w:gridSpan w:val="2"/>
            <w:tcBorders>
              <w:top w:val="single" w:sz="4" w:space="0" w:color="auto"/>
              <w:left w:val="nil"/>
              <w:bottom w:val="single" w:sz="4" w:space="0" w:color="FFFFFF"/>
              <w:right w:val="single" w:sz="4" w:space="0" w:color="FFFFFF"/>
            </w:tcBorders>
            <w:shd w:val="clear" w:color="000000" w:fill="1F497D"/>
            <w:vAlign w:val="center"/>
            <w:hideMark/>
          </w:tcPr>
          <w:p w:rsidR="002B35A0" w:rsidRPr="002B35A0" w:rsidRDefault="002B35A0" w:rsidP="00254844">
            <w:pPr>
              <w:keepNext/>
              <w:spacing w:after="0" w:line="240" w:lineRule="auto"/>
              <w:jc w:val="center"/>
              <w:rPr>
                <w:rFonts w:ascii="Arial" w:eastAsia="Times New Roman" w:hAnsi="Arial" w:cs="Arial"/>
                <w:b/>
                <w:bCs/>
                <w:color w:val="FFFFFF"/>
                <w:sz w:val="20"/>
                <w:szCs w:val="20"/>
              </w:rPr>
            </w:pPr>
            <w:r w:rsidRPr="002B35A0">
              <w:rPr>
                <w:rFonts w:ascii="Arial" w:eastAsia="Times New Roman" w:hAnsi="Arial" w:cs="Arial"/>
                <w:b/>
                <w:bCs/>
                <w:color w:val="FFFFFF"/>
                <w:sz w:val="20"/>
                <w:szCs w:val="20"/>
              </w:rPr>
              <w:t>Average Bill</w:t>
            </w:r>
          </w:p>
        </w:tc>
        <w:tc>
          <w:tcPr>
            <w:tcW w:w="1120" w:type="dxa"/>
            <w:vMerge w:val="restart"/>
            <w:tcBorders>
              <w:top w:val="single" w:sz="4" w:space="0" w:color="auto"/>
              <w:left w:val="single" w:sz="4" w:space="0" w:color="FFFFFF"/>
              <w:bottom w:val="single" w:sz="4" w:space="0" w:color="000000"/>
              <w:right w:val="single" w:sz="4" w:space="0" w:color="FFFFFF"/>
            </w:tcBorders>
            <w:shd w:val="clear" w:color="000000" w:fill="1F497D"/>
            <w:vAlign w:val="center"/>
            <w:hideMark/>
          </w:tcPr>
          <w:p w:rsidR="002B35A0" w:rsidRPr="002B35A0" w:rsidRDefault="002B35A0" w:rsidP="00254844">
            <w:pPr>
              <w:keepNext/>
              <w:spacing w:after="0" w:line="240" w:lineRule="auto"/>
              <w:jc w:val="center"/>
              <w:rPr>
                <w:rFonts w:ascii="Arial" w:eastAsia="Times New Roman" w:hAnsi="Arial" w:cs="Arial"/>
                <w:b/>
                <w:bCs/>
                <w:color w:val="FFFFFF"/>
                <w:sz w:val="20"/>
                <w:szCs w:val="20"/>
              </w:rPr>
            </w:pPr>
            <w:r w:rsidRPr="002B35A0">
              <w:rPr>
                <w:rFonts w:ascii="Arial" w:eastAsia="Times New Roman" w:hAnsi="Arial" w:cs="Arial"/>
                <w:b/>
                <w:bCs/>
                <w:color w:val="FFFFFF"/>
                <w:sz w:val="20"/>
                <w:szCs w:val="20"/>
              </w:rPr>
              <w:t>Percent Change</w:t>
            </w:r>
          </w:p>
        </w:tc>
        <w:tc>
          <w:tcPr>
            <w:tcW w:w="2320" w:type="dxa"/>
            <w:gridSpan w:val="2"/>
            <w:tcBorders>
              <w:top w:val="single" w:sz="4" w:space="0" w:color="auto"/>
              <w:left w:val="nil"/>
              <w:bottom w:val="single" w:sz="4" w:space="0" w:color="FFFFFF"/>
              <w:right w:val="single" w:sz="4" w:space="0" w:color="FFFFFF"/>
            </w:tcBorders>
            <w:shd w:val="clear" w:color="000000" w:fill="1F497D"/>
            <w:vAlign w:val="center"/>
            <w:hideMark/>
          </w:tcPr>
          <w:p w:rsidR="002B35A0" w:rsidRPr="002B35A0" w:rsidRDefault="002B35A0" w:rsidP="00254844">
            <w:pPr>
              <w:keepNext/>
              <w:spacing w:after="0" w:line="240" w:lineRule="auto"/>
              <w:jc w:val="center"/>
              <w:rPr>
                <w:rFonts w:ascii="Arial" w:eastAsia="Times New Roman" w:hAnsi="Arial" w:cs="Arial"/>
                <w:b/>
                <w:bCs/>
                <w:color w:val="FFFFFF"/>
                <w:sz w:val="20"/>
                <w:szCs w:val="20"/>
              </w:rPr>
            </w:pPr>
            <w:r w:rsidRPr="002B35A0">
              <w:rPr>
                <w:rFonts w:ascii="Arial" w:eastAsia="Times New Roman" w:hAnsi="Arial" w:cs="Arial"/>
                <w:b/>
                <w:bCs/>
                <w:color w:val="FFFFFF"/>
                <w:sz w:val="20"/>
                <w:szCs w:val="20"/>
              </w:rPr>
              <w:t>90% of Customers Experience Change Between…</w:t>
            </w:r>
          </w:p>
        </w:tc>
        <w:tc>
          <w:tcPr>
            <w:tcW w:w="1560" w:type="dxa"/>
            <w:vMerge w:val="restart"/>
            <w:tcBorders>
              <w:top w:val="single" w:sz="4" w:space="0" w:color="auto"/>
              <w:left w:val="single" w:sz="4" w:space="0" w:color="FFFFFF"/>
              <w:bottom w:val="single" w:sz="4" w:space="0" w:color="000000"/>
              <w:right w:val="single" w:sz="4" w:space="0" w:color="auto"/>
            </w:tcBorders>
            <w:shd w:val="clear" w:color="000000" w:fill="1F497D"/>
            <w:vAlign w:val="center"/>
            <w:hideMark/>
          </w:tcPr>
          <w:p w:rsidR="002B35A0" w:rsidRPr="002B35A0" w:rsidRDefault="002B35A0" w:rsidP="00254844">
            <w:pPr>
              <w:keepNext/>
              <w:spacing w:after="0" w:line="240" w:lineRule="auto"/>
              <w:jc w:val="center"/>
              <w:rPr>
                <w:rFonts w:ascii="Arial" w:eastAsia="Times New Roman" w:hAnsi="Arial" w:cs="Arial"/>
                <w:b/>
                <w:bCs/>
                <w:color w:val="FFFFFF"/>
                <w:sz w:val="20"/>
                <w:szCs w:val="20"/>
              </w:rPr>
            </w:pPr>
            <w:r w:rsidRPr="002B35A0">
              <w:rPr>
                <w:rFonts w:ascii="Arial" w:eastAsia="Times New Roman" w:hAnsi="Arial" w:cs="Arial"/>
                <w:b/>
                <w:bCs/>
                <w:color w:val="FFFFFF"/>
                <w:sz w:val="20"/>
                <w:szCs w:val="20"/>
              </w:rPr>
              <w:t>Percentage of Customers Experiencing Lower Bills</w:t>
            </w:r>
          </w:p>
        </w:tc>
      </w:tr>
      <w:tr w:rsidR="002B35A0" w:rsidRPr="002B35A0" w:rsidTr="002B35A0">
        <w:trPr>
          <w:trHeight w:val="510"/>
          <w:jc w:val="center"/>
        </w:trPr>
        <w:tc>
          <w:tcPr>
            <w:tcW w:w="1680" w:type="dxa"/>
            <w:vMerge/>
            <w:tcBorders>
              <w:top w:val="single" w:sz="4" w:space="0" w:color="auto"/>
              <w:left w:val="single" w:sz="4" w:space="0" w:color="auto"/>
              <w:bottom w:val="single" w:sz="4" w:space="0" w:color="000000"/>
              <w:right w:val="single" w:sz="4" w:space="0" w:color="FFFFFF"/>
            </w:tcBorders>
            <w:vAlign w:val="center"/>
            <w:hideMark/>
          </w:tcPr>
          <w:p w:rsidR="002B35A0" w:rsidRPr="002B35A0" w:rsidRDefault="002B35A0" w:rsidP="00254844">
            <w:pPr>
              <w:keepNext/>
              <w:spacing w:after="0" w:line="240" w:lineRule="auto"/>
              <w:rPr>
                <w:rFonts w:ascii="Arial" w:eastAsia="Times New Roman" w:hAnsi="Arial" w:cs="Arial"/>
                <w:b/>
                <w:bCs/>
                <w:color w:val="FFFFFF"/>
                <w:sz w:val="20"/>
                <w:szCs w:val="20"/>
              </w:rPr>
            </w:pPr>
          </w:p>
        </w:tc>
        <w:tc>
          <w:tcPr>
            <w:tcW w:w="1100" w:type="dxa"/>
            <w:tcBorders>
              <w:top w:val="nil"/>
              <w:left w:val="nil"/>
              <w:bottom w:val="single" w:sz="4" w:space="0" w:color="auto"/>
              <w:right w:val="single" w:sz="4" w:space="0" w:color="FFFFFF"/>
            </w:tcBorders>
            <w:shd w:val="clear" w:color="000000" w:fill="1F497D"/>
            <w:vAlign w:val="center"/>
            <w:hideMark/>
          </w:tcPr>
          <w:p w:rsidR="002B35A0" w:rsidRPr="002B35A0" w:rsidRDefault="002B35A0" w:rsidP="00254844">
            <w:pPr>
              <w:keepNext/>
              <w:spacing w:after="0" w:line="240" w:lineRule="auto"/>
              <w:jc w:val="center"/>
              <w:rPr>
                <w:rFonts w:ascii="Arial" w:eastAsia="Times New Roman" w:hAnsi="Arial" w:cs="Arial"/>
                <w:b/>
                <w:bCs/>
                <w:color w:val="FFFFFF"/>
                <w:sz w:val="20"/>
                <w:szCs w:val="20"/>
              </w:rPr>
            </w:pPr>
            <w:r w:rsidRPr="002B35A0">
              <w:rPr>
                <w:rFonts w:ascii="Arial" w:eastAsia="Times New Roman" w:hAnsi="Arial" w:cs="Arial"/>
                <w:b/>
                <w:bCs/>
                <w:color w:val="FFFFFF"/>
                <w:sz w:val="20"/>
                <w:szCs w:val="20"/>
              </w:rPr>
              <w:t>E-1</w:t>
            </w:r>
          </w:p>
        </w:tc>
        <w:tc>
          <w:tcPr>
            <w:tcW w:w="1200" w:type="dxa"/>
            <w:tcBorders>
              <w:top w:val="nil"/>
              <w:left w:val="nil"/>
              <w:bottom w:val="single" w:sz="4" w:space="0" w:color="auto"/>
              <w:right w:val="single" w:sz="4" w:space="0" w:color="FFFFFF"/>
            </w:tcBorders>
            <w:shd w:val="clear" w:color="000000" w:fill="1F497D"/>
            <w:vAlign w:val="center"/>
            <w:hideMark/>
          </w:tcPr>
          <w:p w:rsidR="002B35A0" w:rsidRPr="002B35A0" w:rsidRDefault="002B35A0" w:rsidP="00254844">
            <w:pPr>
              <w:keepNext/>
              <w:spacing w:after="0" w:line="240" w:lineRule="auto"/>
              <w:jc w:val="center"/>
              <w:rPr>
                <w:rFonts w:ascii="Arial" w:eastAsia="Times New Roman" w:hAnsi="Arial" w:cs="Arial"/>
                <w:b/>
                <w:bCs/>
                <w:color w:val="FFFFFF"/>
                <w:sz w:val="20"/>
                <w:szCs w:val="20"/>
              </w:rPr>
            </w:pPr>
            <w:r w:rsidRPr="002B35A0">
              <w:rPr>
                <w:rFonts w:ascii="Arial" w:eastAsia="Times New Roman" w:hAnsi="Arial" w:cs="Arial"/>
                <w:b/>
                <w:bCs/>
                <w:color w:val="FFFFFF"/>
                <w:sz w:val="20"/>
                <w:szCs w:val="20"/>
              </w:rPr>
              <w:t>E-6 and E-7</w:t>
            </w:r>
          </w:p>
        </w:tc>
        <w:tc>
          <w:tcPr>
            <w:tcW w:w="1120" w:type="dxa"/>
            <w:vMerge/>
            <w:tcBorders>
              <w:top w:val="single" w:sz="4" w:space="0" w:color="auto"/>
              <w:left w:val="single" w:sz="4" w:space="0" w:color="FFFFFF"/>
              <w:bottom w:val="single" w:sz="4" w:space="0" w:color="000000"/>
              <w:right w:val="single" w:sz="4" w:space="0" w:color="FFFFFF"/>
            </w:tcBorders>
            <w:vAlign w:val="center"/>
            <w:hideMark/>
          </w:tcPr>
          <w:p w:rsidR="002B35A0" w:rsidRPr="002B35A0" w:rsidRDefault="002B35A0" w:rsidP="00254844">
            <w:pPr>
              <w:keepNext/>
              <w:spacing w:after="0" w:line="240" w:lineRule="auto"/>
              <w:rPr>
                <w:rFonts w:ascii="Arial" w:eastAsia="Times New Roman" w:hAnsi="Arial" w:cs="Arial"/>
                <w:b/>
                <w:bCs/>
                <w:color w:val="FFFFFF"/>
                <w:sz w:val="20"/>
                <w:szCs w:val="20"/>
              </w:rPr>
            </w:pPr>
          </w:p>
        </w:tc>
        <w:tc>
          <w:tcPr>
            <w:tcW w:w="1240" w:type="dxa"/>
            <w:tcBorders>
              <w:top w:val="nil"/>
              <w:left w:val="nil"/>
              <w:bottom w:val="single" w:sz="4" w:space="0" w:color="auto"/>
              <w:right w:val="single" w:sz="4" w:space="0" w:color="FFFFFF"/>
            </w:tcBorders>
            <w:shd w:val="clear" w:color="000000" w:fill="1F497D"/>
            <w:vAlign w:val="center"/>
            <w:hideMark/>
          </w:tcPr>
          <w:p w:rsidR="002B35A0" w:rsidRPr="002B35A0" w:rsidRDefault="002B35A0" w:rsidP="00254844">
            <w:pPr>
              <w:keepNext/>
              <w:spacing w:after="0" w:line="240" w:lineRule="auto"/>
              <w:jc w:val="center"/>
              <w:rPr>
                <w:rFonts w:ascii="Arial" w:eastAsia="Times New Roman" w:hAnsi="Arial" w:cs="Arial"/>
                <w:b/>
                <w:bCs/>
                <w:color w:val="FFFFFF"/>
                <w:sz w:val="20"/>
                <w:szCs w:val="20"/>
              </w:rPr>
            </w:pPr>
            <w:r w:rsidRPr="002B35A0">
              <w:rPr>
                <w:rFonts w:ascii="Arial" w:eastAsia="Times New Roman" w:hAnsi="Arial" w:cs="Arial"/>
                <w:b/>
                <w:bCs/>
                <w:color w:val="FFFFFF"/>
                <w:sz w:val="20"/>
                <w:szCs w:val="20"/>
              </w:rPr>
              <w:t>Lower Bound</w:t>
            </w:r>
          </w:p>
        </w:tc>
        <w:tc>
          <w:tcPr>
            <w:tcW w:w="1080" w:type="dxa"/>
            <w:tcBorders>
              <w:top w:val="nil"/>
              <w:left w:val="nil"/>
              <w:bottom w:val="single" w:sz="4" w:space="0" w:color="auto"/>
              <w:right w:val="single" w:sz="4" w:space="0" w:color="FFFFFF"/>
            </w:tcBorders>
            <w:shd w:val="clear" w:color="000000" w:fill="1F497D"/>
            <w:vAlign w:val="center"/>
            <w:hideMark/>
          </w:tcPr>
          <w:p w:rsidR="002B35A0" w:rsidRPr="002B35A0" w:rsidRDefault="002B35A0" w:rsidP="00254844">
            <w:pPr>
              <w:keepNext/>
              <w:spacing w:after="0" w:line="240" w:lineRule="auto"/>
              <w:jc w:val="center"/>
              <w:rPr>
                <w:rFonts w:ascii="Arial" w:eastAsia="Times New Roman" w:hAnsi="Arial" w:cs="Arial"/>
                <w:b/>
                <w:bCs/>
                <w:color w:val="FFFFFF"/>
                <w:sz w:val="20"/>
                <w:szCs w:val="20"/>
              </w:rPr>
            </w:pPr>
            <w:r w:rsidRPr="002B35A0">
              <w:rPr>
                <w:rFonts w:ascii="Arial" w:eastAsia="Times New Roman" w:hAnsi="Arial" w:cs="Arial"/>
                <w:b/>
                <w:bCs/>
                <w:color w:val="FFFFFF"/>
                <w:sz w:val="20"/>
                <w:szCs w:val="20"/>
              </w:rPr>
              <w:t>Upper Bound</w:t>
            </w:r>
          </w:p>
        </w:tc>
        <w:tc>
          <w:tcPr>
            <w:tcW w:w="1560" w:type="dxa"/>
            <w:vMerge/>
            <w:tcBorders>
              <w:top w:val="single" w:sz="4" w:space="0" w:color="auto"/>
              <w:left w:val="single" w:sz="4" w:space="0" w:color="FFFFFF"/>
              <w:bottom w:val="single" w:sz="4" w:space="0" w:color="000000"/>
              <w:right w:val="single" w:sz="4" w:space="0" w:color="auto"/>
            </w:tcBorders>
            <w:vAlign w:val="center"/>
            <w:hideMark/>
          </w:tcPr>
          <w:p w:rsidR="002B35A0" w:rsidRPr="002B35A0" w:rsidRDefault="002B35A0" w:rsidP="00254844">
            <w:pPr>
              <w:keepNext/>
              <w:spacing w:after="0" w:line="240" w:lineRule="auto"/>
              <w:rPr>
                <w:rFonts w:ascii="Arial" w:eastAsia="Times New Roman" w:hAnsi="Arial" w:cs="Arial"/>
                <w:b/>
                <w:bCs/>
                <w:color w:val="FFFFFF"/>
                <w:sz w:val="20"/>
                <w:szCs w:val="20"/>
              </w:rPr>
            </w:pP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Jan-12</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$175</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$145</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-17</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-33</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96</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Feb-12</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$147</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$121</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-18</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-33</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-2</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96</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Mar-12</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$151</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$124</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-18</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-33</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-4</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98</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Apr-12</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$133</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$108</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-19</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-33</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-4</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98</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May-12</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$137</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$136</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-1</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-19</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33</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65</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Jun-12</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$153</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$153</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0</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-17</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34</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61</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Jul-12</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$180</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$181</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1</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-17</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33</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58</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Aug-12</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$193</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$200</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4</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-17</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40</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47</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Sep-12</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$152</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$149</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-2</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-21</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29</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66</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Oct-12</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$138</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$139</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1</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-18</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39</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58</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Nov-11</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$153</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$127</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-17</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-33</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96</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Dec-11</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$184</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$154</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color w:val="000000"/>
                <w:sz w:val="18"/>
                <w:szCs w:val="18"/>
              </w:rPr>
            </w:pPr>
            <w:r w:rsidRPr="002B35A0">
              <w:rPr>
                <w:rFonts w:ascii="Arial" w:eastAsia="Times New Roman" w:hAnsi="Arial" w:cs="Arial"/>
                <w:color w:val="000000"/>
                <w:sz w:val="18"/>
                <w:szCs w:val="18"/>
              </w:rPr>
              <w:t>-16</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-33</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0</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color w:val="000000"/>
              </w:rPr>
            </w:pPr>
            <w:r w:rsidRPr="002B35A0">
              <w:rPr>
                <w:rFonts w:ascii="Calibri" w:eastAsia="Times New Roman" w:hAnsi="Calibri" w:cs="Times New Roman"/>
                <w:color w:val="000000"/>
              </w:rPr>
              <w:t>95</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b/>
                <w:bCs/>
                <w:color w:val="000000"/>
              </w:rPr>
            </w:pPr>
            <w:r w:rsidRPr="002B35A0">
              <w:rPr>
                <w:rFonts w:ascii="Calibri" w:eastAsia="Times New Roman" w:hAnsi="Calibri" w:cs="Times New Roman"/>
                <w:b/>
                <w:bCs/>
                <w:color w:val="000000"/>
              </w:rPr>
              <w:t>Summer</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AE5A8D" w:rsidP="00254844">
            <w:pPr>
              <w:keepNext/>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$155</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54844">
            <w:pPr>
              <w:keepNext/>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$152</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b/>
                <w:bCs/>
                <w:color w:val="000000"/>
                <w:sz w:val="18"/>
                <w:szCs w:val="18"/>
              </w:rPr>
            </w:pPr>
            <w:r w:rsidRPr="002B35A0">
              <w:rPr>
                <w:rFonts w:ascii="Arial" w:eastAsia="Times New Roman" w:hAnsi="Arial" w:cs="Arial"/>
                <w:b/>
                <w:bCs/>
                <w:color w:val="000000"/>
                <w:sz w:val="18"/>
                <w:szCs w:val="18"/>
              </w:rPr>
              <w:t>-2</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54844">
            <w:pPr>
              <w:keepNext/>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-17</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54844">
            <w:pPr>
              <w:keepNext/>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34</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54844">
            <w:pPr>
              <w:keepNext/>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59</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54844">
            <w:pPr>
              <w:keepNext/>
              <w:spacing w:after="0" w:line="240" w:lineRule="auto"/>
              <w:jc w:val="center"/>
              <w:rPr>
                <w:rFonts w:ascii="Calibri" w:eastAsia="Times New Roman" w:hAnsi="Calibri" w:cs="Times New Roman"/>
                <w:b/>
                <w:bCs/>
                <w:color w:val="000000"/>
              </w:rPr>
            </w:pPr>
            <w:r w:rsidRPr="002B35A0">
              <w:rPr>
                <w:rFonts w:ascii="Calibri" w:eastAsia="Times New Roman" w:hAnsi="Calibri" w:cs="Times New Roman"/>
                <w:b/>
                <w:bCs/>
                <w:color w:val="000000"/>
              </w:rPr>
              <w:t>Winter</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AE5A8D" w:rsidP="00254844">
            <w:pPr>
              <w:keepNext/>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$162</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54844">
            <w:pPr>
              <w:keepNext/>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$134</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54844">
            <w:pPr>
              <w:keepNext/>
              <w:spacing w:after="0" w:line="240" w:lineRule="auto"/>
              <w:jc w:val="center"/>
              <w:rPr>
                <w:rFonts w:ascii="Arial" w:eastAsia="Times New Roman" w:hAnsi="Arial" w:cs="Arial"/>
                <w:b/>
                <w:bCs/>
                <w:color w:val="000000"/>
                <w:sz w:val="18"/>
                <w:szCs w:val="18"/>
              </w:rPr>
            </w:pPr>
            <w:r w:rsidRPr="002B35A0">
              <w:rPr>
                <w:rFonts w:ascii="Arial" w:eastAsia="Times New Roman" w:hAnsi="Arial" w:cs="Arial"/>
                <w:b/>
                <w:bCs/>
                <w:color w:val="000000"/>
                <w:sz w:val="18"/>
                <w:szCs w:val="18"/>
              </w:rPr>
              <w:t>-17</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54844">
            <w:pPr>
              <w:keepNext/>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-33</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54844">
            <w:pPr>
              <w:keepNext/>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-2</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54844">
            <w:pPr>
              <w:keepNext/>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97</w:t>
            </w:r>
          </w:p>
        </w:tc>
      </w:tr>
      <w:tr w:rsidR="002B35A0" w:rsidRPr="002B35A0" w:rsidTr="002B35A0">
        <w:trPr>
          <w:trHeight w:val="300"/>
          <w:jc w:val="center"/>
        </w:trPr>
        <w:tc>
          <w:tcPr>
            <w:tcW w:w="1680" w:type="dxa"/>
            <w:tcBorders>
              <w:top w:val="nil"/>
              <w:left w:val="single" w:sz="4" w:space="0" w:color="auto"/>
              <w:bottom w:val="single" w:sz="4" w:space="0" w:color="auto"/>
              <w:right w:val="nil"/>
            </w:tcBorders>
            <w:shd w:val="clear" w:color="auto" w:fill="auto"/>
            <w:noWrap/>
            <w:vAlign w:val="center"/>
            <w:hideMark/>
          </w:tcPr>
          <w:p w:rsidR="002B35A0" w:rsidRPr="002B35A0" w:rsidRDefault="002B35A0" w:rsidP="002B35A0">
            <w:pPr>
              <w:spacing w:after="0" w:line="240" w:lineRule="auto"/>
              <w:jc w:val="center"/>
              <w:rPr>
                <w:rFonts w:ascii="Calibri" w:eastAsia="Times New Roman" w:hAnsi="Calibri" w:cs="Times New Roman"/>
                <w:b/>
                <w:bCs/>
                <w:color w:val="000000"/>
              </w:rPr>
            </w:pPr>
            <w:r w:rsidRPr="002B35A0">
              <w:rPr>
                <w:rFonts w:ascii="Calibri" w:eastAsia="Times New Roman" w:hAnsi="Calibri" w:cs="Times New Roman"/>
                <w:b/>
                <w:bCs/>
                <w:color w:val="000000"/>
              </w:rPr>
              <w:t>Annual</w:t>
            </w:r>
          </w:p>
        </w:tc>
        <w:tc>
          <w:tcPr>
            <w:tcW w:w="1100" w:type="dxa"/>
            <w:tcBorders>
              <w:top w:val="nil"/>
              <w:left w:val="single" w:sz="4" w:space="0" w:color="auto"/>
              <w:bottom w:val="single" w:sz="4" w:space="0" w:color="auto"/>
              <w:right w:val="single" w:sz="4" w:space="0" w:color="auto"/>
            </w:tcBorders>
            <w:shd w:val="clear" w:color="auto" w:fill="auto"/>
            <w:noWrap/>
            <w:vAlign w:val="center"/>
            <w:hideMark/>
          </w:tcPr>
          <w:p w:rsidR="002B35A0" w:rsidRPr="002B35A0" w:rsidRDefault="00AE5A8D" w:rsidP="002B35A0">
            <w:pPr>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$158</w:t>
            </w:r>
          </w:p>
        </w:tc>
        <w:tc>
          <w:tcPr>
            <w:tcW w:w="120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B35A0">
            <w:pPr>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$145</w:t>
            </w:r>
          </w:p>
        </w:tc>
        <w:tc>
          <w:tcPr>
            <w:tcW w:w="1120" w:type="dxa"/>
            <w:tcBorders>
              <w:top w:val="nil"/>
              <w:left w:val="nil"/>
              <w:bottom w:val="single" w:sz="4" w:space="0" w:color="auto"/>
              <w:right w:val="single" w:sz="4" w:space="0" w:color="auto"/>
            </w:tcBorders>
            <w:shd w:val="clear" w:color="auto" w:fill="auto"/>
            <w:noWrap/>
            <w:vAlign w:val="center"/>
            <w:hideMark/>
          </w:tcPr>
          <w:p w:rsidR="002B35A0" w:rsidRPr="002B35A0" w:rsidRDefault="002B35A0" w:rsidP="002B35A0">
            <w:pPr>
              <w:spacing w:after="0" w:line="240" w:lineRule="auto"/>
              <w:jc w:val="center"/>
              <w:rPr>
                <w:rFonts w:ascii="Arial" w:eastAsia="Times New Roman" w:hAnsi="Arial" w:cs="Arial"/>
                <w:b/>
                <w:bCs/>
                <w:color w:val="000000"/>
                <w:sz w:val="18"/>
                <w:szCs w:val="18"/>
              </w:rPr>
            </w:pPr>
            <w:r w:rsidRPr="002B35A0">
              <w:rPr>
                <w:rFonts w:ascii="Arial" w:eastAsia="Times New Roman" w:hAnsi="Arial" w:cs="Arial"/>
                <w:b/>
                <w:bCs/>
                <w:color w:val="000000"/>
                <w:sz w:val="18"/>
                <w:szCs w:val="18"/>
              </w:rPr>
              <w:t>-8</w:t>
            </w:r>
          </w:p>
        </w:tc>
        <w:tc>
          <w:tcPr>
            <w:tcW w:w="124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B35A0">
            <w:pPr>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-22</w:t>
            </w:r>
          </w:p>
        </w:tc>
        <w:tc>
          <w:tcPr>
            <w:tcW w:w="108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B35A0">
            <w:pPr>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17</w:t>
            </w:r>
          </w:p>
        </w:tc>
        <w:tc>
          <w:tcPr>
            <w:tcW w:w="1560" w:type="dxa"/>
            <w:tcBorders>
              <w:top w:val="nil"/>
              <w:left w:val="nil"/>
              <w:bottom w:val="single" w:sz="4" w:space="0" w:color="auto"/>
              <w:right w:val="single" w:sz="4" w:space="0" w:color="auto"/>
            </w:tcBorders>
            <w:shd w:val="clear" w:color="auto" w:fill="auto"/>
            <w:noWrap/>
            <w:vAlign w:val="center"/>
            <w:hideMark/>
          </w:tcPr>
          <w:p w:rsidR="002B35A0" w:rsidRPr="002B35A0" w:rsidRDefault="00AE5A8D" w:rsidP="002B35A0">
            <w:pPr>
              <w:spacing w:after="0" w:line="240" w:lineRule="auto"/>
              <w:jc w:val="center"/>
              <w:rPr>
                <w:rFonts w:ascii="Calibri" w:eastAsia="Times New Roman" w:hAnsi="Calibri" w:cs="Times New Roman"/>
                <w:b/>
                <w:color w:val="000000"/>
              </w:rPr>
            </w:pPr>
            <w:r w:rsidRPr="00AE5A8D">
              <w:rPr>
                <w:rFonts w:ascii="Calibri" w:eastAsia="Times New Roman" w:hAnsi="Calibri" w:cs="Times New Roman"/>
                <w:b/>
                <w:color w:val="000000"/>
              </w:rPr>
              <w:t>76</w:t>
            </w:r>
          </w:p>
        </w:tc>
      </w:tr>
    </w:tbl>
    <w:p w:rsidR="00131DE3" w:rsidRDefault="00131DE3" w:rsidP="00131DE3">
      <w:pPr>
        <w:pStyle w:val="Heading1"/>
        <w:numPr>
          <w:ilvl w:val="0"/>
          <w:numId w:val="0"/>
        </w:numPr>
        <w:ind w:left="432"/>
      </w:pPr>
      <w:bookmarkStart w:id="108" w:name="_Toc349193910"/>
    </w:p>
    <w:p w:rsidR="00131DE3" w:rsidRDefault="00131DE3" w:rsidP="00131DE3">
      <w:pPr>
        <w:pStyle w:val="BodyParagraph"/>
        <w:rPr>
          <w:rFonts w:eastAsia="Times New Roman" w:cs="Times New Roman"/>
          <w:color w:val="403152" w:themeColor="accent4" w:themeShade="80"/>
          <w:sz w:val="28"/>
          <w:szCs w:val="28"/>
        </w:rPr>
      </w:pPr>
      <w:r>
        <w:br w:type="page"/>
      </w:r>
    </w:p>
    <w:p w:rsidR="00364C9D" w:rsidRPr="00612923" w:rsidRDefault="00364C9D" w:rsidP="00364C9D">
      <w:pPr>
        <w:pStyle w:val="Heading1"/>
      </w:pPr>
      <w:bookmarkStart w:id="109" w:name="_Toc352567323"/>
      <w:r w:rsidRPr="00612923">
        <w:lastRenderedPageBreak/>
        <w:t>TOU Ex Ante Load Impacts</w:t>
      </w:r>
      <w:bookmarkEnd w:id="108"/>
      <w:bookmarkEnd w:id="109"/>
    </w:p>
    <w:p w:rsidR="00364C9D" w:rsidRPr="00612923" w:rsidRDefault="00364C9D" w:rsidP="00364C9D">
      <w:pPr>
        <w:pStyle w:val="BodyParagraph"/>
      </w:pPr>
      <w:r w:rsidRPr="00612923">
        <w:t>Ex post impacts do not necessarily reflect the full load reduction capability of demand response programs.  Demand response load impacts can vary as a function of weather, participant characteristics, changes in the number of program participants and other factors such as the use of enabling technology.  For many programs, event impacts are tied to conditions</w:t>
      </w:r>
      <w:r w:rsidR="00C82BF7" w:rsidRPr="00612923">
        <w:t>—</w:t>
      </w:r>
      <w:r w:rsidRPr="00612923">
        <w:t>e.g., weather</w:t>
      </w:r>
      <w:r w:rsidR="00C82BF7" w:rsidRPr="00612923">
        <w:t>—</w:t>
      </w:r>
      <w:r w:rsidRPr="00612923">
        <w:t xml:space="preserve">and the number of customers participating in an event.  Moreover, in any given year, the extreme weather conditions that drive the system peak and need for additional resources may or may not occur.  </w:t>
      </w:r>
    </w:p>
    <w:p w:rsidR="00364C9D" w:rsidRPr="00612923" w:rsidRDefault="00364C9D" w:rsidP="00364C9D">
      <w:pPr>
        <w:pStyle w:val="BodyParagraph"/>
      </w:pPr>
      <w:r w:rsidRPr="00612923">
        <w:t>Ex ante impacts are based on performance and load reduction patterns during historical event days but are standardized for normal and extreme weather year conditions that align with system planning.  The most likely system peaking conditions are reflected in the 1-in-2 weather year, while the 1-in-10 weather year reflects extreme conditions that drive extreme system peaks and the need for more resources.</w:t>
      </w:r>
    </w:p>
    <w:p w:rsidR="00364C9D" w:rsidRPr="00612923" w:rsidRDefault="00364C9D" w:rsidP="00364C9D">
      <w:pPr>
        <w:pStyle w:val="BodyParagraph"/>
      </w:pPr>
      <w:r w:rsidRPr="00612923">
        <w:t>The ex ante impacts are based solely on E-6 and E-7 customers.  They exclude the approximately 30,000 net-metered customers that have solar panels because they are already accounted for through the evaluation of solar programs.</w:t>
      </w:r>
    </w:p>
    <w:p w:rsidR="00364C9D" w:rsidRPr="00612923" w:rsidRDefault="00364C9D" w:rsidP="00364C9D">
      <w:pPr>
        <w:pStyle w:val="BodyParagraph"/>
        <w:rPr>
          <w:rFonts w:ascii="Arial Bold" w:hAnsi="Arial Bold"/>
        </w:rPr>
      </w:pPr>
      <w:r w:rsidRPr="00612923">
        <w:t>The remainder of this section details the ex ante methodology and enrollment forecast; it also presents the ex ante load impacts on an aggregate and per customer basis.</w:t>
      </w:r>
    </w:p>
    <w:p w:rsidR="00364C9D" w:rsidRPr="00612923" w:rsidRDefault="00364C9D" w:rsidP="00364C9D">
      <w:pPr>
        <w:pStyle w:val="Heading2"/>
      </w:pPr>
      <w:bookmarkStart w:id="110" w:name="_Toc349193911"/>
      <w:bookmarkStart w:id="111" w:name="_Toc352567324"/>
      <w:r w:rsidRPr="00612923">
        <w:t>Methodology</w:t>
      </w:r>
      <w:bookmarkEnd w:id="110"/>
      <w:bookmarkEnd w:id="111"/>
    </w:p>
    <w:p w:rsidR="00364C9D" w:rsidRPr="00612923" w:rsidRDefault="00364C9D" w:rsidP="00364C9D">
      <w:pPr>
        <w:pStyle w:val="BodyBeforeBullet"/>
      </w:pPr>
      <w:r w:rsidRPr="00612923">
        <w:t>Whenever possible, ex ante load impacts are grounded on an analysis of historical load impact performance.  The protocols governing DR evaluations do not require that ex ante impact estimates be</w:t>
      </w:r>
      <w:r w:rsidR="00C82BF7" w:rsidRPr="00612923">
        <w:t> </w:t>
      </w:r>
      <w:r w:rsidRPr="00612923">
        <w:t>based on the same regression models used to estimate the ex post, because the best ex post evaluation method is not necessarily the best one for producing ex ante impacts.  In this instance, the ex post evaluation method relied on taking the difference in usage between a treatment and a control group.  It did not attempt to explain how electricity use or TOU impacts varied with weather conditions.  The ex ante impacts were developed in five steps:</w:t>
      </w:r>
    </w:p>
    <w:p w:rsidR="00364C9D" w:rsidRPr="00612923" w:rsidRDefault="00364C9D" w:rsidP="00364C9D">
      <w:pPr>
        <w:pStyle w:val="Bullets"/>
        <w:numPr>
          <w:ilvl w:val="0"/>
          <w:numId w:val="25"/>
        </w:numPr>
      </w:pPr>
      <w:r w:rsidRPr="00612923">
        <w:t>Assess how TOU impacts vary, by LCA, as a function of weather conditions using regression.</w:t>
      </w:r>
    </w:p>
    <w:p w:rsidR="00364C9D" w:rsidRPr="00612923" w:rsidRDefault="00364C9D" w:rsidP="00364C9D">
      <w:pPr>
        <w:pStyle w:val="Bullets"/>
        <w:numPr>
          <w:ilvl w:val="0"/>
          <w:numId w:val="25"/>
        </w:numPr>
      </w:pPr>
      <w:r w:rsidRPr="00612923">
        <w:t xml:space="preserve">Assess how overall energy load shapes vary, by LCA, as a function of weather conditions. </w:t>
      </w:r>
    </w:p>
    <w:p w:rsidR="00364C9D" w:rsidRPr="00612923" w:rsidRDefault="00364C9D" w:rsidP="00364C9D">
      <w:pPr>
        <w:pStyle w:val="Bullets"/>
        <w:numPr>
          <w:ilvl w:val="0"/>
          <w:numId w:val="25"/>
        </w:numPr>
      </w:pPr>
      <w:r w:rsidRPr="00612923">
        <w:t>Replicate the explanatory variables using 1-in-2 and 1-in-10 weather conditions.</w:t>
      </w:r>
    </w:p>
    <w:p w:rsidR="00364C9D" w:rsidRPr="00612923" w:rsidRDefault="00364C9D" w:rsidP="00364C9D">
      <w:pPr>
        <w:pStyle w:val="Bullets"/>
        <w:numPr>
          <w:ilvl w:val="0"/>
          <w:numId w:val="25"/>
        </w:numPr>
      </w:pPr>
      <w:r w:rsidRPr="00612923">
        <w:t xml:space="preserve">Predict the reference loads and the impacts. </w:t>
      </w:r>
    </w:p>
    <w:p w:rsidR="00364C9D" w:rsidRPr="00612923" w:rsidRDefault="00364C9D" w:rsidP="00364C9D">
      <w:pPr>
        <w:pStyle w:val="BulletLast"/>
        <w:numPr>
          <w:ilvl w:val="0"/>
          <w:numId w:val="25"/>
        </w:numPr>
      </w:pPr>
      <w:r w:rsidRPr="00612923">
        <w:t xml:space="preserve">Combine the two. </w:t>
      </w:r>
    </w:p>
    <w:p w:rsidR="00364C9D" w:rsidRPr="00612923" w:rsidRDefault="00364C9D" w:rsidP="00364C9D">
      <w:pPr>
        <w:pStyle w:val="BodyParagraph"/>
      </w:pPr>
      <w:r w:rsidRPr="00612923">
        <w:t xml:space="preserve">Only 2012 data was used to estimate the ex ante impacts this year.  Figure 8-1 shows a scatter plot of absolute (kW) and relative (percentage) E-6 and E-7 TOU impacts by temperature during the summer peak period.  The impacts for each day and hour were calculated as the difference between the treatment and control groups, just as in the ex post analysis.  As Figure 8-1 shows, there is a very strong relationship between temperature and TOU demand reductions.  It also shows the amount of variation across different days with similar weather conditions.  This variation was factored into the uncertainty bands of the ex ante load impacts. </w:t>
      </w:r>
    </w:p>
    <w:p w:rsidR="00364C9D" w:rsidRPr="00612923" w:rsidRDefault="00364C9D" w:rsidP="00364C9D">
      <w:pPr>
        <w:pStyle w:val="TableFigureCaption"/>
      </w:pPr>
      <w:r w:rsidRPr="00612923">
        <w:lastRenderedPageBreak/>
        <w:t>Figure 8-1: Peak Period Impacts by Temperature</w:t>
      </w:r>
    </w:p>
    <w:p w:rsidR="00364C9D" w:rsidRPr="00612923" w:rsidRDefault="00364C9D" w:rsidP="00364C9D">
      <w:pPr>
        <w:pStyle w:val="BodyParagraph"/>
      </w:pPr>
      <w:r w:rsidRPr="00612923">
        <w:rPr>
          <w:noProof/>
        </w:rPr>
        <w:drawing>
          <wp:inline distT="0" distB="0" distL="0" distR="0">
            <wp:extent cx="5934075" cy="215265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152650"/>
                    </a:xfrm>
                    <a:prstGeom prst="rect">
                      <a:avLst/>
                    </a:prstGeom>
                    <a:noFill/>
                    <a:ln>
                      <a:noFill/>
                    </a:ln>
                  </pic:spPr>
                </pic:pic>
              </a:graphicData>
            </a:graphic>
          </wp:inline>
        </w:drawing>
      </w:r>
    </w:p>
    <w:p w:rsidR="00364C9D" w:rsidRPr="00612923" w:rsidRDefault="00364C9D" w:rsidP="00364C9D">
      <w:pPr>
        <w:pStyle w:val="BodyParaAfterTableFigure"/>
      </w:pPr>
      <w:r w:rsidRPr="00612923">
        <w:t>We analyzed the extent to which TOU impacts and reference loads varied with weather conditions separately for each hour, season (summer/winter), and local capacity area.  The regression models used to explain variation in TOU impacts and reference loads used the same explanatory variables.  The main difference was in the dependent variable.  One set of models explained the variation in reference loads; the second set explained the variation in TOU price response.  The explanatory variables were simple.  For all days, the model uses just the average temperature for the last nine</w:t>
      </w:r>
      <w:r w:rsidR="002C126F" w:rsidRPr="00612923">
        <w:t> </w:t>
      </w:r>
      <w:r w:rsidRPr="00612923">
        <w:t>hours.</w:t>
      </w:r>
    </w:p>
    <w:p w:rsidR="00364C9D" w:rsidRPr="00612923" w:rsidRDefault="00364C9D" w:rsidP="00364C9D">
      <w:pPr>
        <w:pStyle w:val="BodyBeforeBullet"/>
      </w:pPr>
      <w:r w:rsidRPr="00612923">
        <w:t xml:space="preserve">Mathematically, the models used for the ex ante estimation can be expressed by the following two equations.  Table 8-1 defines the variables and terms in the regression.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88"/>
        <w:gridCol w:w="7488"/>
      </w:tblGrid>
      <w:tr w:rsidR="00364C9D" w:rsidRPr="00612923" w:rsidTr="00364C9D">
        <w:trPr>
          <w:trHeight w:val="1440"/>
        </w:trPr>
        <w:tc>
          <w:tcPr>
            <w:tcW w:w="2088" w:type="dxa"/>
          </w:tcPr>
          <w:p w:rsidR="00364C9D" w:rsidRPr="00612923" w:rsidRDefault="00364C9D" w:rsidP="00364C9D">
            <w:pPr>
              <w:pStyle w:val="BodyParagraph"/>
              <w:jc w:val="center"/>
              <w:rPr>
                <w:b/>
              </w:rPr>
            </w:pPr>
            <w:r w:rsidRPr="00612923">
              <w:rPr>
                <w:b/>
              </w:rPr>
              <w:t>Variation in TOU Impacts</w:t>
            </w:r>
          </w:p>
        </w:tc>
        <w:tc>
          <w:tcPr>
            <w:tcW w:w="7488" w:type="dxa"/>
          </w:tcPr>
          <w:p w:rsidR="00364C9D" w:rsidRPr="00612923" w:rsidRDefault="00071D48" w:rsidP="00364C9D">
            <w:pPr>
              <w:pStyle w:val="BodyParagraph"/>
              <w:rPr>
                <w:sz w:val="24"/>
                <w:szCs w:val="24"/>
              </w:rPr>
            </w:pPr>
            <m:oMathPara>
              <m:oMath>
                <m:sSub>
                  <m:sSubPr>
                    <m:ctrlPr>
                      <w:rPr>
                        <w:rFonts w:ascii="Cambria Math" w:hAnsi="Cambria Math"/>
                        <w:i/>
                        <w:sz w:val="24"/>
                        <w:szCs w:val="24"/>
                      </w:rPr>
                    </m:ctrlPr>
                  </m:sSubPr>
                  <m:e>
                    <m:r>
                      <w:rPr>
                        <w:rFonts w:ascii="Cambria Math" w:hAnsi="Cambria Math"/>
                        <w:sz w:val="24"/>
                        <w:szCs w:val="24"/>
                      </w:rPr>
                      <m:t>∆kW</m:t>
                    </m:r>
                  </m:e>
                  <m:sub>
                    <m:r>
                      <w:rPr>
                        <w:rFonts w:ascii="Cambria Math" w:hAnsi="Cambria Math"/>
                        <w:sz w:val="24"/>
                        <w:szCs w:val="24"/>
                      </w:rPr>
                      <m:t>t, LCA, season</m:t>
                    </m:r>
                  </m:sub>
                </m:sSub>
                <m:r>
                  <w:rPr>
                    <w:rFonts w:ascii="Cambria Math" w:hAnsi="Cambria Math"/>
                    <w:sz w:val="24"/>
                    <w:szCs w:val="24"/>
                  </w:rPr>
                  <m:t>= a+b*</m:t>
                </m:r>
                <m:sSub>
                  <m:sSubPr>
                    <m:ctrlPr>
                      <w:rPr>
                        <w:rFonts w:ascii="Cambria Math" w:hAnsi="Cambria Math"/>
                        <w:i/>
                        <w:sz w:val="24"/>
                        <w:szCs w:val="24"/>
                      </w:rPr>
                    </m:ctrlPr>
                  </m:sSubPr>
                  <m:e>
                    <m:r>
                      <m:rPr>
                        <m:sty m:val="p"/>
                      </m:rPr>
                      <w:rPr>
                        <w:rFonts w:ascii="Cambria Math" w:hAnsi="Cambria Math"/>
                        <w:sz w:val="24"/>
                        <w:szCs w:val="24"/>
                      </w:rPr>
                      <m:t>last_nine_temp</m:t>
                    </m:r>
                  </m:e>
                  <m:sub>
                    <m:r>
                      <w:rPr>
                        <w:rFonts w:ascii="Cambria Math" w:hAnsi="Cambria Math"/>
                        <w:sz w:val="24"/>
                        <w:szCs w:val="24"/>
                      </w:rPr>
                      <m:t>t, LCA, season</m:t>
                    </m:r>
                  </m:sub>
                </m:sSub>
                <m:r>
                  <w:rPr>
                    <w:rFonts w:ascii="Cambria Math" w:hAnsi="Cambria Math"/>
                    <w:sz w:val="24"/>
                    <w:szCs w:val="24"/>
                  </w:rPr>
                  <m:t>+ϵ</m:t>
                </m:r>
              </m:oMath>
            </m:oMathPara>
          </w:p>
        </w:tc>
      </w:tr>
      <w:tr w:rsidR="00364C9D" w:rsidRPr="00612923" w:rsidTr="00364C9D">
        <w:tc>
          <w:tcPr>
            <w:tcW w:w="2088" w:type="dxa"/>
          </w:tcPr>
          <w:p w:rsidR="00364C9D" w:rsidRPr="00612923" w:rsidRDefault="00364C9D" w:rsidP="00364C9D">
            <w:pPr>
              <w:pStyle w:val="BodyParagraph"/>
              <w:jc w:val="center"/>
              <w:rPr>
                <w:b/>
              </w:rPr>
            </w:pPr>
            <w:r w:rsidRPr="00612923">
              <w:rPr>
                <w:b/>
              </w:rPr>
              <w:t>Variation in Reference loads</w:t>
            </w:r>
          </w:p>
        </w:tc>
        <w:tc>
          <w:tcPr>
            <w:tcW w:w="7488" w:type="dxa"/>
          </w:tcPr>
          <w:p w:rsidR="00364C9D" w:rsidRPr="00612923" w:rsidRDefault="00071D48" w:rsidP="00364C9D">
            <w:pPr>
              <w:pStyle w:val="BodyParagraph"/>
              <w:rPr>
                <w:sz w:val="24"/>
                <w:szCs w:val="24"/>
              </w:rPr>
            </w:pPr>
            <m:oMathPara>
              <m:oMath>
                <m:sSub>
                  <m:sSubPr>
                    <m:ctrlPr>
                      <w:rPr>
                        <w:rFonts w:ascii="Cambria Math" w:hAnsi="Cambria Math"/>
                        <w:i/>
                        <w:sz w:val="24"/>
                        <w:szCs w:val="24"/>
                      </w:rPr>
                    </m:ctrlPr>
                  </m:sSubPr>
                  <m:e>
                    <m:r>
                      <w:rPr>
                        <w:rFonts w:ascii="Cambria Math" w:hAnsi="Cambria Math"/>
                        <w:sz w:val="24"/>
                        <w:szCs w:val="24"/>
                      </w:rPr>
                      <m:t>kW</m:t>
                    </m:r>
                  </m:e>
                  <m:sub>
                    <m:r>
                      <w:rPr>
                        <w:rFonts w:ascii="Cambria Math" w:hAnsi="Cambria Math"/>
                        <w:sz w:val="24"/>
                        <w:szCs w:val="24"/>
                      </w:rPr>
                      <m:t>t, LCA, season</m:t>
                    </m:r>
                  </m:sub>
                </m:sSub>
                <m:r>
                  <w:rPr>
                    <w:rFonts w:ascii="Cambria Math" w:hAnsi="Cambria Math"/>
                    <w:sz w:val="24"/>
                    <w:szCs w:val="24"/>
                  </w:rPr>
                  <m:t>= a+b*</m:t>
                </m:r>
                <m:sSub>
                  <m:sSubPr>
                    <m:ctrlPr>
                      <w:rPr>
                        <w:rFonts w:ascii="Cambria Math" w:hAnsi="Cambria Math"/>
                        <w:i/>
                        <w:sz w:val="24"/>
                        <w:szCs w:val="24"/>
                      </w:rPr>
                    </m:ctrlPr>
                  </m:sSubPr>
                  <m:e>
                    <m:r>
                      <m:rPr>
                        <m:sty m:val="p"/>
                      </m:rPr>
                      <w:rPr>
                        <w:rFonts w:ascii="Cambria Math" w:hAnsi="Cambria Math"/>
                        <w:sz w:val="24"/>
                        <w:szCs w:val="24"/>
                      </w:rPr>
                      <m:t>last_nine_temp</m:t>
                    </m:r>
                  </m:e>
                  <m:sub>
                    <m:r>
                      <w:rPr>
                        <w:rFonts w:ascii="Cambria Math" w:hAnsi="Cambria Math"/>
                        <w:sz w:val="24"/>
                        <w:szCs w:val="24"/>
                      </w:rPr>
                      <m:t>t, LCA, season</m:t>
                    </m:r>
                  </m:sub>
                </m:sSub>
                <m:r>
                  <w:rPr>
                    <w:rFonts w:ascii="Cambria Math" w:hAnsi="Cambria Math"/>
                    <w:sz w:val="24"/>
                    <w:szCs w:val="24"/>
                  </w:rPr>
                  <m:t>+ϵ</m:t>
                </m:r>
              </m:oMath>
            </m:oMathPara>
          </w:p>
        </w:tc>
      </w:tr>
    </w:tbl>
    <w:p w:rsidR="00364C9D" w:rsidRPr="00612923" w:rsidRDefault="00364C9D" w:rsidP="00364C9D">
      <w:pPr>
        <w:pStyle w:val="TableFigureCaption"/>
      </w:pPr>
    </w:p>
    <w:p w:rsidR="00364C9D" w:rsidRPr="00612923" w:rsidRDefault="00364C9D" w:rsidP="00364C9D">
      <w:pPr>
        <w:pStyle w:val="BodyParaAfterTableFigure"/>
        <w:rPr>
          <w:rFonts w:ascii="Arial" w:hAnsi="Arial"/>
          <w:sz w:val="20"/>
        </w:rPr>
      </w:pPr>
      <w:r w:rsidRPr="00612923">
        <w:br w:type="page"/>
      </w:r>
    </w:p>
    <w:p w:rsidR="00364C9D" w:rsidRPr="00612923" w:rsidRDefault="00364C9D" w:rsidP="00364C9D">
      <w:pPr>
        <w:pStyle w:val="TableFigureCaption"/>
      </w:pPr>
      <w:r w:rsidRPr="00612923">
        <w:lastRenderedPageBreak/>
        <w:t>Table 8-1: Impact Regression Parameters and Description</w:t>
      </w:r>
    </w:p>
    <w:tbl>
      <w:tblPr>
        <w:tblStyle w:val="TableGrid"/>
        <w:tblW w:w="9676" w:type="dxa"/>
        <w:jc w:val="center"/>
        <w:tblLook w:val="04A0"/>
      </w:tblPr>
      <w:tblGrid>
        <w:gridCol w:w="1497"/>
        <w:gridCol w:w="8179"/>
      </w:tblGrid>
      <w:tr w:rsidR="00364C9D" w:rsidRPr="00612923" w:rsidTr="00364C9D">
        <w:trPr>
          <w:jc w:val="center"/>
        </w:trPr>
        <w:tc>
          <w:tcPr>
            <w:tcW w:w="1497" w:type="dxa"/>
            <w:tcBorders>
              <w:right w:val="single" w:sz="4" w:space="0" w:color="FFFFFF" w:themeColor="background1"/>
            </w:tcBorders>
            <w:shd w:val="clear" w:color="auto" w:fill="1F497D" w:themeFill="text2"/>
            <w:vAlign w:val="center"/>
          </w:tcPr>
          <w:p w:rsidR="00364C9D" w:rsidRPr="00612923" w:rsidRDefault="00364C9D" w:rsidP="00254844">
            <w:pPr>
              <w:pStyle w:val="TableHeader"/>
              <w:keepNext/>
              <w:rPr>
                <w:sz w:val="22"/>
              </w:rPr>
            </w:pPr>
            <w:r w:rsidRPr="00612923">
              <w:t>Variable</w:t>
            </w:r>
          </w:p>
        </w:tc>
        <w:tc>
          <w:tcPr>
            <w:tcW w:w="0" w:type="auto"/>
            <w:tcBorders>
              <w:left w:val="single" w:sz="4" w:space="0" w:color="FFFFFF" w:themeColor="background1"/>
            </w:tcBorders>
            <w:shd w:val="clear" w:color="auto" w:fill="1F497D" w:themeFill="text2"/>
            <w:vAlign w:val="center"/>
          </w:tcPr>
          <w:p w:rsidR="00364C9D" w:rsidRPr="00612923" w:rsidRDefault="00364C9D" w:rsidP="00254844">
            <w:pPr>
              <w:pStyle w:val="TableHeader"/>
              <w:keepNext/>
              <w:rPr>
                <w:sz w:val="22"/>
              </w:rPr>
            </w:pPr>
            <w:r w:rsidRPr="00612923">
              <w:t>Description</w:t>
            </w:r>
          </w:p>
        </w:tc>
      </w:tr>
      <w:tr w:rsidR="00364C9D" w:rsidRPr="00612923" w:rsidTr="00364C9D">
        <w:trPr>
          <w:jc w:val="center"/>
        </w:trPr>
        <w:tc>
          <w:tcPr>
            <w:tcW w:w="1497" w:type="dxa"/>
            <w:vAlign w:val="center"/>
          </w:tcPr>
          <w:p w:rsidR="00364C9D" w:rsidRPr="00612923" w:rsidRDefault="00364C9D" w:rsidP="00254844">
            <w:pPr>
              <w:pStyle w:val="TableText"/>
              <w:keepNext/>
              <w:rPr>
                <w:rFonts w:ascii="Calibri" w:hAnsi="Calibri"/>
              </w:rPr>
            </w:pPr>
            <m:oMathPara>
              <m:oMath>
                <m:r>
                  <m:rPr>
                    <m:sty m:val="p"/>
                  </m:rPr>
                  <w:rPr>
                    <w:rFonts w:ascii="Cambria Math" w:hAnsi="Cambria Math"/>
                  </w:rPr>
                  <m:t>∆</m:t>
                </m:r>
                <m:r>
                  <w:rPr>
                    <w:rFonts w:ascii="Cambria Math" w:hAnsi="Cambria Math"/>
                  </w:rPr>
                  <m:t>kw</m:t>
                </m:r>
              </m:oMath>
            </m:oMathPara>
          </w:p>
        </w:tc>
        <w:tc>
          <w:tcPr>
            <w:tcW w:w="0" w:type="auto"/>
            <w:vAlign w:val="center"/>
          </w:tcPr>
          <w:p w:rsidR="00364C9D" w:rsidRPr="00612923" w:rsidRDefault="00364C9D" w:rsidP="00254844">
            <w:pPr>
              <w:pStyle w:val="TableText"/>
              <w:keepNext/>
              <w:jc w:val="left"/>
            </w:pPr>
            <w:r w:rsidRPr="00612923">
              <w:t>The difference between the control group and TOU groups for each hour and date in 20</w:t>
            </w:r>
            <w:r w:rsidR="00102328" w:rsidRPr="00612923">
              <w:t>11</w:t>
            </w:r>
            <w:r w:rsidRPr="00612923">
              <w:t xml:space="preserve"> and 201</w:t>
            </w:r>
            <w:r w:rsidR="00102328" w:rsidRPr="00612923">
              <w:t>2</w:t>
            </w:r>
            <w:r w:rsidRPr="00612923">
              <w:t>.  The treatment and control groups are the same as those used for the ex post evaluation.</w:t>
            </w:r>
          </w:p>
        </w:tc>
      </w:tr>
      <w:tr w:rsidR="00364C9D" w:rsidRPr="00612923" w:rsidTr="00364C9D">
        <w:trPr>
          <w:jc w:val="center"/>
        </w:trPr>
        <w:tc>
          <w:tcPr>
            <w:tcW w:w="1497" w:type="dxa"/>
            <w:vAlign w:val="center"/>
          </w:tcPr>
          <w:p w:rsidR="00364C9D" w:rsidRPr="00612923" w:rsidRDefault="00364C9D" w:rsidP="00254844">
            <w:pPr>
              <w:pStyle w:val="TableText"/>
              <w:keepNext/>
            </w:pPr>
            <m:oMathPara>
              <m:oMath>
                <m:r>
                  <w:rPr>
                    <w:rFonts w:ascii="Cambria Math" w:hAnsi="Cambria Math"/>
                  </w:rPr>
                  <m:t>a</m:t>
                </m:r>
                <m:r>
                  <m:rPr>
                    <m:sty m:val="p"/>
                  </m:rPr>
                  <w:rPr>
                    <w:rFonts w:ascii="Cambria Math" w:hAnsi="Cambria Math"/>
                  </w:rPr>
                  <m:t>-</m:t>
                </m:r>
                <m:r>
                  <w:rPr>
                    <w:rFonts w:ascii="Cambria Math" w:hAnsi="Cambria Math"/>
                  </w:rPr>
                  <m:t>e</m:t>
                </m:r>
              </m:oMath>
            </m:oMathPara>
          </w:p>
        </w:tc>
        <w:tc>
          <w:tcPr>
            <w:tcW w:w="0" w:type="auto"/>
            <w:vAlign w:val="center"/>
          </w:tcPr>
          <w:p w:rsidR="00364C9D" w:rsidRPr="00612923" w:rsidRDefault="00364C9D" w:rsidP="00254844">
            <w:pPr>
              <w:pStyle w:val="TableText"/>
              <w:keepNext/>
              <w:jc w:val="left"/>
            </w:pPr>
            <w:r w:rsidRPr="00612923">
              <w:t>Estimated parameters (coefficients).</w:t>
            </w:r>
          </w:p>
        </w:tc>
      </w:tr>
      <w:tr w:rsidR="00364C9D" w:rsidRPr="00612923" w:rsidTr="00364C9D">
        <w:trPr>
          <w:jc w:val="center"/>
        </w:trPr>
        <w:tc>
          <w:tcPr>
            <w:tcW w:w="1497" w:type="dxa"/>
            <w:vAlign w:val="center"/>
          </w:tcPr>
          <w:p w:rsidR="00364C9D" w:rsidRPr="00612923" w:rsidRDefault="00364C9D" w:rsidP="00254844">
            <w:pPr>
              <w:pStyle w:val="TableText"/>
              <w:keepNext/>
              <w:rPr>
                <w:rFonts w:ascii="Calibri" w:hAnsi="Calibri"/>
              </w:rPr>
            </w:pPr>
            <m:oMathPara>
              <m:oMath>
                <m:r>
                  <w:rPr>
                    <w:rFonts w:ascii="Cambria Math" w:hAnsi="Cambria Math"/>
                  </w:rPr>
                  <m:t>t</m:t>
                </m:r>
                <m:r>
                  <m:rPr>
                    <m:sty m:val="p"/>
                  </m:rPr>
                  <w:rPr>
                    <w:rFonts w:ascii="Cambria Math" w:hAnsi="Cambria Math"/>
                  </w:rPr>
                  <m:t xml:space="preserve">, </m:t>
                </m:r>
                <m:r>
                  <w:rPr>
                    <w:rFonts w:ascii="Cambria Math" w:hAnsi="Cambria Math"/>
                  </w:rPr>
                  <m:t>LCA</m:t>
                </m:r>
                <m:r>
                  <m:rPr>
                    <m:sty m:val="p"/>
                  </m:rPr>
                  <w:rPr>
                    <w:rFonts w:ascii="Cambria Math" w:hAnsi="Cambria Math"/>
                  </w:rPr>
                  <m:t xml:space="preserve">, </m:t>
                </m:r>
                <m:r>
                  <w:rPr>
                    <w:rFonts w:ascii="Cambria Math" w:hAnsi="Cambria Math"/>
                  </w:rPr>
                  <m:t>season</m:t>
                </m:r>
              </m:oMath>
            </m:oMathPara>
          </w:p>
        </w:tc>
        <w:tc>
          <w:tcPr>
            <w:tcW w:w="0" w:type="auto"/>
            <w:vAlign w:val="center"/>
          </w:tcPr>
          <w:p w:rsidR="00364C9D" w:rsidRPr="00612923" w:rsidRDefault="00364C9D" w:rsidP="00254844">
            <w:pPr>
              <w:pStyle w:val="TableText"/>
              <w:keepNext/>
              <w:jc w:val="left"/>
            </w:pPr>
            <w:r w:rsidRPr="00612923">
              <w:t>Indicators for the unit of analysis.  The model is estimated for each LCA at each hour of the day for each season (winter or summer).</w:t>
            </w:r>
          </w:p>
        </w:tc>
      </w:tr>
      <w:tr w:rsidR="00364C9D" w:rsidRPr="00612923" w:rsidTr="00364C9D">
        <w:trPr>
          <w:jc w:val="center"/>
        </w:trPr>
        <w:tc>
          <w:tcPr>
            <w:tcW w:w="1497" w:type="dxa"/>
            <w:vAlign w:val="center"/>
          </w:tcPr>
          <w:p w:rsidR="00364C9D" w:rsidRPr="00612923" w:rsidRDefault="00364C9D" w:rsidP="00254844">
            <w:pPr>
              <w:pStyle w:val="TableText"/>
              <w:keepNext/>
            </w:pPr>
            <w:proofErr w:type="spellStart"/>
            <w:r w:rsidRPr="00612923">
              <w:t>Last_nine_temp</w:t>
            </w:r>
            <w:proofErr w:type="spellEnd"/>
          </w:p>
        </w:tc>
        <w:tc>
          <w:tcPr>
            <w:tcW w:w="0" w:type="auto"/>
            <w:vAlign w:val="center"/>
          </w:tcPr>
          <w:p w:rsidR="00364C9D" w:rsidRPr="00612923" w:rsidRDefault="00364C9D" w:rsidP="00254844">
            <w:pPr>
              <w:pStyle w:val="TableText"/>
              <w:keepNext/>
              <w:jc w:val="left"/>
            </w:pPr>
            <w:r w:rsidRPr="00612923">
              <w:t xml:space="preserve">Average temperature over the last nine hours for the specific hour (˚F). </w:t>
            </w:r>
          </w:p>
        </w:tc>
      </w:tr>
      <w:tr w:rsidR="00364C9D" w:rsidRPr="00612923" w:rsidTr="00364C9D">
        <w:trPr>
          <w:jc w:val="center"/>
        </w:trPr>
        <w:tc>
          <w:tcPr>
            <w:tcW w:w="1497" w:type="dxa"/>
            <w:vAlign w:val="center"/>
          </w:tcPr>
          <w:p w:rsidR="00364C9D" w:rsidRPr="00612923" w:rsidRDefault="00364C9D" w:rsidP="00364C9D">
            <w:pPr>
              <w:pStyle w:val="TableText"/>
            </w:pPr>
            <m:oMathPara>
              <m:oMath>
                <m:r>
                  <w:rPr>
                    <w:rFonts w:ascii="Cambria Math" w:hAnsi="Cambria Math"/>
                  </w:rPr>
                  <m:t>ϵ</m:t>
                </m:r>
              </m:oMath>
            </m:oMathPara>
          </w:p>
        </w:tc>
        <w:tc>
          <w:tcPr>
            <w:tcW w:w="0" w:type="auto"/>
            <w:vAlign w:val="center"/>
          </w:tcPr>
          <w:p w:rsidR="00364C9D" w:rsidRPr="00612923" w:rsidRDefault="00364C9D" w:rsidP="00364C9D">
            <w:pPr>
              <w:pStyle w:val="TableText"/>
              <w:jc w:val="left"/>
            </w:pPr>
            <w:r w:rsidRPr="00612923">
              <w:t>The error term.</w:t>
            </w:r>
          </w:p>
        </w:tc>
      </w:tr>
    </w:tbl>
    <w:p w:rsidR="00364C9D" w:rsidRPr="00612923" w:rsidRDefault="00364C9D" w:rsidP="00364C9D">
      <w:pPr>
        <w:pStyle w:val="BodyBeforeBullet"/>
        <w:spacing w:before="360"/>
      </w:pPr>
      <w:r w:rsidRPr="00612923">
        <w:t xml:space="preserve">In keeping with the requirements of the CPUC Load Impact Protocols, ex ante impact estimates were developed for the following customer segments and event conditions:  </w:t>
      </w:r>
    </w:p>
    <w:p w:rsidR="00364C9D" w:rsidRPr="00612923" w:rsidRDefault="00364C9D" w:rsidP="00364C9D">
      <w:pPr>
        <w:pStyle w:val="Bullets"/>
      </w:pPr>
      <w:r w:rsidRPr="00612923">
        <w:t>24 day types in each year (i.e., the monthly system peak day and average weekday);</w:t>
      </w:r>
    </w:p>
    <w:p w:rsidR="00364C9D" w:rsidRPr="00612923" w:rsidRDefault="00364C9D" w:rsidP="00364C9D">
      <w:pPr>
        <w:pStyle w:val="Bullets"/>
      </w:pPr>
      <w:r w:rsidRPr="00612923">
        <w:t>7 local capacity area (LCA) regions plus the service territory as a whole;</w:t>
      </w:r>
    </w:p>
    <w:p w:rsidR="00364C9D" w:rsidRPr="00612923" w:rsidRDefault="00364C9D" w:rsidP="00364C9D">
      <w:pPr>
        <w:pStyle w:val="Bullets"/>
      </w:pPr>
      <w:r w:rsidRPr="00612923">
        <w:t>2 weather years (i.e., with 1-in-10 and 1-in-2 conditions);</w:t>
      </w:r>
    </w:p>
    <w:p w:rsidR="00364C9D" w:rsidRPr="00612923" w:rsidRDefault="00364C9D" w:rsidP="00364C9D">
      <w:pPr>
        <w:pStyle w:val="Bullets"/>
      </w:pPr>
      <w:r w:rsidRPr="00612923">
        <w:t xml:space="preserve">11 forecast years (i.e., 2012 through 2022); and </w:t>
      </w:r>
    </w:p>
    <w:p w:rsidR="00364C9D" w:rsidRPr="00612923" w:rsidRDefault="00364C9D" w:rsidP="00364C9D">
      <w:pPr>
        <w:pStyle w:val="BulletLast"/>
      </w:pPr>
      <w:r w:rsidRPr="00612923">
        <w:t>2 customer groupings (i.e., average and aggregate).</w:t>
      </w:r>
    </w:p>
    <w:p w:rsidR="00364C9D" w:rsidRPr="00612923" w:rsidRDefault="00364C9D" w:rsidP="00364C9D">
      <w:pPr>
        <w:pStyle w:val="BodyParagraph"/>
      </w:pPr>
      <w:r w:rsidRPr="00612923">
        <w:t>Hourly estimates for the roughly 7,400 distinct combinations of the above factors are provided electronically with this report.</w:t>
      </w:r>
    </w:p>
    <w:p w:rsidR="00364C9D" w:rsidRPr="00612923" w:rsidRDefault="00364C9D" w:rsidP="00364C9D">
      <w:pPr>
        <w:pStyle w:val="Heading2"/>
      </w:pPr>
      <w:bookmarkStart w:id="112" w:name="_Toc349193912"/>
      <w:bookmarkStart w:id="113" w:name="_Toc352567325"/>
      <w:r w:rsidRPr="00612923">
        <w:t>Enrollment Forecast</w:t>
      </w:r>
      <w:bookmarkEnd w:id="112"/>
      <w:bookmarkEnd w:id="113"/>
    </w:p>
    <w:p w:rsidR="00364C9D" w:rsidRPr="00612923" w:rsidRDefault="00364C9D" w:rsidP="00364C9D">
      <w:pPr>
        <w:pStyle w:val="BodyParagraph"/>
      </w:pPr>
      <w:r w:rsidRPr="00612923">
        <w:t>E-7 is a closed rate.  Customers not currently served under the rate schedule are not allowed to obtain E-7 service.  Because of this, the only factor impacting E-7’s population change is attrition as customers close their accounts over time.  On the other hand, the E-6 population experienced an increase in population.  Table 8-2 shows the population forecasts used in this report.  The population forecast was developed by PG&amp;E.</w:t>
      </w:r>
      <w:r w:rsidR="002B5283">
        <w:t xml:space="preserve"> </w:t>
      </w:r>
      <w:r w:rsidR="00FE519D">
        <w:t xml:space="preserve">Based on 2011 and 2012 enrollment </w:t>
      </w:r>
      <w:proofErr w:type="gramStart"/>
      <w:r w:rsidR="00FE519D">
        <w:t>data,</w:t>
      </w:r>
      <w:proofErr w:type="gramEnd"/>
      <w:r w:rsidR="00FE519D">
        <w:t xml:space="preserve"> the residential TOU on a whole is forecasted to experience 2.2% new enrollment per year and 0.13% attrition per year. </w:t>
      </w:r>
      <w:r w:rsidR="002B5283">
        <w:t xml:space="preserve">We have </w:t>
      </w:r>
      <w:r w:rsidR="00FE519D">
        <w:t xml:space="preserve">also </w:t>
      </w:r>
      <w:r w:rsidR="002B5283">
        <w:t>assumed that as the population changes that the fraction of net metered customers stays constant</w:t>
      </w:r>
      <w:r w:rsidR="00312AB8">
        <w:t xml:space="preserve"> within each LCA within each of the two rates.  This means that as some LCAs gain population relative to others, the overall fraction</w:t>
      </w:r>
      <w:r w:rsidR="0068553C">
        <w:t xml:space="preserve"> of net metered</w:t>
      </w:r>
      <w:r w:rsidR="00312AB8">
        <w:t xml:space="preserve"> may change</w:t>
      </w:r>
      <w:r w:rsidR="002B5283">
        <w:t xml:space="preserve">.  Our load impact tables only reflect the contribution of </w:t>
      </w:r>
      <w:r w:rsidR="0068553C">
        <w:t xml:space="preserve">non </w:t>
      </w:r>
      <w:r w:rsidR="002B5283">
        <w:t>net metered customers.</w:t>
      </w:r>
    </w:p>
    <w:p w:rsidR="00364C9D" w:rsidRDefault="00364C9D" w:rsidP="00364C9D">
      <w:pPr>
        <w:pStyle w:val="TableFigureCaption"/>
      </w:pPr>
      <w:r w:rsidRPr="00612923">
        <w:lastRenderedPageBreak/>
        <w:t xml:space="preserve">Table 8-2: Residential TOU Population </w:t>
      </w:r>
      <w:proofErr w:type="gramStart"/>
      <w:r w:rsidRPr="00612923">
        <w:t>Forecast,</w:t>
      </w:r>
      <w:proofErr w:type="gramEnd"/>
      <w:r w:rsidRPr="00612923">
        <w:t xml:space="preserve"> 2013-2023</w:t>
      </w:r>
    </w:p>
    <w:tbl>
      <w:tblPr>
        <w:tblW w:w="9483" w:type="dxa"/>
        <w:jc w:val="center"/>
        <w:tblInd w:w="93" w:type="dxa"/>
        <w:tblLook w:val="04A0"/>
      </w:tblPr>
      <w:tblGrid>
        <w:gridCol w:w="1041"/>
        <w:gridCol w:w="2044"/>
        <w:gridCol w:w="2044"/>
        <w:gridCol w:w="2328"/>
        <w:gridCol w:w="2026"/>
      </w:tblGrid>
      <w:tr w:rsidR="00312AB8" w:rsidRPr="00DB682F" w:rsidTr="00312AB8">
        <w:trPr>
          <w:trHeight w:val="480"/>
          <w:jc w:val="center"/>
        </w:trPr>
        <w:tc>
          <w:tcPr>
            <w:tcW w:w="1041" w:type="dxa"/>
            <w:tcBorders>
              <w:top w:val="single" w:sz="4" w:space="0" w:color="auto"/>
              <w:left w:val="single" w:sz="4" w:space="0" w:color="auto"/>
              <w:bottom w:val="single" w:sz="4" w:space="0" w:color="auto"/>
              <w:right w:val="single" w:sz="4" w:space="0" w:color="FFFFFF" w:themeColor="background1"/>
            </w:tcBorders>
            <w:shd w:val="clear" w:color="000000" w:fill="1F497D"/>
            <w:vAlign w:val="center"/>
            <w:hideMark/>
          </w:tcPr>
          <w:p w:rsidR="00312AB8" w:rsidRPr="00DB682F" w:rsidRDefault="00312AB8" w:rsidP="00254844">
            <w:pPr>
              <w:keepNext/>
              <w:spacing w:after="0" w:line="240" w:lineRule="auto"/>
              <w:jc w:val="center"/>
              <w:rPr>
                <w:rFonts w:ascii="Arial" w:eastAsia="Times New Roman" w:hAnsi="Arial" w:cs="Arial"/>
                <w:b/>
                <w:bCs/>
                <w:color w:val="FFFFFF"/>
                <w:sz w:val="18"/>
                <w:szCs w:val="18"/>
              </w:rPr>
            </w:pPr>
            <w:r w:rsidRPr="00DB682F">
              <w:rPr>
                <w:rFonts w:ascii="Arial" w:eastAsia="Times New Roman" w:hAnsi="Arial" w:cs="Arial"/>
                <w:b/>
                <w:bCs/>
                <w:color w:val="FFFFFF"/>
                <w:sz w:val="18"/>
                <w:szCs w:val="18"/>
              </w:rPr>
              <w:t>Year</w:t>
            </w:r>
          </w:p>
        </w:tc>
        <w:tc>
          <w:tcPr>
            <w:tcW w:w="2044" w:type="dxa"/>
            <w:tcBorders>
              <w:top w:val="single" w:sz="4" w:space="0" w:color="auto"/>
              <w:left w:val="single" w:sz="4" w:space="0" w:color="FFFFFF" w:themeColor="background1"/>
              <w:bottom w:val="single" w:sz="4" w:space="0" w:color="auto"/>
              <w:right w:val="single" w:sz="4" w:space="0" w:color="FFFFFF" w:themeColor="background1"/>
            </w:tcBorders>
            <w:shd w:val="clear" w:color="000000" w:fill="1F497D"/>
            <w:vAlign w:val="center"/>
          </w:tcPr>
          <w:p w:rsidR="00312AB8" w:rsidRPr="00DB682F" w:rsidRDefault="00312AB8" w:rsidP="00312AB8">
            <w:pPr>
              <w:keepNext/>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E6</w:t>
            </w:r>
          </w:p>
        </w:tc>
        <w:tc>
          <w:tcPr>
            <w:tcW w:w="2044" w:type="dxa"/>
            <w:tcBorders>
              <w:top w:val="single" w:sz="4" w:space="0" w:color="auto"/>
              <w:left w:val="single" w:sz="4" w:space="0" w:color="FFFFFF" w:themeColor="background1"/>
              <w:bottom w:val="single" w:sz="4" w:space="0" w:color="auto"/>
              <w:right w:val="single" w:sz="4" w:space="0" w:color="FFFFFF" w:themeColor="background1"/>
            </w:tcBorders>
            <w:shd w:val="clear" w:color="000000" w:fill="1F497D"/>
            <w:vAlign w:val="center"/>
          </w:tcPr>
          <w:p w:rsidR="00312AB8" w:rsidRPr="00DB682F" w:rsidRDefault="00312AB8" w:rsidP="00312AB8">
            <w:pPr>
              <w:keepNext/>
              <w:spacing w:after="0" w:line="240" w:lineRule="auto"/>
              <w:jc w:val="center"/>
              <w:rPr>
                <w:rFonts w:ascii="Arial" w:eastAsia="Times New Roman" w:hAnsi="Arial" w:cs="Arial"/>
                <w:b/>
                <w:bCs/>
                <w:color w:val="FFFFFF"/>
                <w:sz w:val="18"/>
                <w:szCs w:val="18"/>
              </w:rPr>
            </w:pPr>
            <w:r>
              <w:rPr>
                <w:rFonts w:ascii="Arial" w:eastAsia="Times New Roman" w:hAnsi="Arial" w:cs="Arial"/>
                <w:b/>
                <w:bCs/>
                <w:color w:val="FFFFFF"/>
                <w:sz w:val="18"/>
                <w:szCs w:val="18"/>
              </w:rPr>
              <w:t>E7</w:t>
            </w:r>
          </w:p>
        </w:tc>
        <w:tc>
          <w:tcPr>
            <w:tcW w:w="2328" w:type="dxa"/>
            <w:tcBorders>
              <w:top w:val="single" w:sz="4" w:space="0" w:color="auto"/>
              <w:left w:val="single" w:sz="4" w:space="0" w:color="FFFFFF" w:themeColor="background1"/>
              <w:bottom w:val="single" w:sz="4" w:space="0" w:color="auto"/>
              <w:right w:val="single" w:sz="4" w:space="0" w:color="FFFFFF"/>
            </w:tcBorders>
            <w:shd w:val="clear" w:color="000000" w:fill="1F497D"/>
            <w:vAlign w:val="center"/>
            <w:hideMark/>
          </w:tcPr>
          <w:p w:rsidR="00312AB8" w:rsidRPr="00DB682F" w:rsidRDefault="00312AB8" w:rsidP="00254844">
            <w:pPr>
              <w:keepNext/>
              <w:spacing w:after="0" w:line="240" w:lineRule="auto"/>
              <w:jc w:val="center"/>
              <w:rPr>
                <w:rFonts w:ascii="Arial" w:eastAsia="Times New Roman" w:hAnsi="Arial" w:cs="Arial"/>
                <w:b/>
                <w:bCs/>
                <w:color w:val="FFFFFF"/>
                <w:sz w:val="18"/>
                <w:szCs w:val="18"/>
              </w:rPr>
            </w:pPr>
            <w:r w:rsidRPr="00DB682F">
              <w:rPr>
                <w:rFonts w:ascii="Arial" w:eastAsia="Times New Roman" w:hAnsi="Arial" w:cs="Arial"/>
                <w:b/>
                <w:bCs/>
                <w:color w:val="FFFFFF"/>
                <w:sz w:val="18"/>
                <w:szCs w:val="18"/>
              </w:rPr>
              <w:t>E6 Non Net Metered</w:t>
            </w:r>
          </w:p>
        </w:tc>
        <w:tc>
          <w:tcPr>
            <w:tcW w:w="2026" w:type="dxa"/>
            <w:tcBorders>
              <w:top w:val="single" w:sz="4" w:space="0" w:color="auto"/>
              <w:left w:val="nil"/>
              <w:bottom w:val="single" w:sz="4" w:space="0" w:color="auto"/>
              <w:right w:val="single" w:sz="4" w:space="0" w:color="auto"/>
            </w:tcBorders>
            <w:shd w:val="clear" w:color="000000" w:fill="1F497D"/>
            <w:vAlign w:val="center"/>
            <w:hideMark/>
          </w:tcPr>
          <w:p w:rsidR="00312AB8" w:rsidRPr="00DB682F" w:rsidRDefault="00312AB8" w:rsidP="00254844">
            <w:pPr>
              <w:keepNext/>
              <w:spacing w:after="0" w:line="240" w:lineRule="auto"/>
              <w:jc w:val="center"/>
              <w:rPr>
                <w:rFonts w:ascii="Arial" w:eastAsia="Times New Roman" w:hAnsi="Arial" w:cs="Arial"/>
                <w:b/>
                <w:bCs/>
                <w:color w:val="FFFFFF"/>
                <w:sz w:val="18"/>
                <w:szCs w:val="18"/>
              </w:rPr>
            </w:pPr>
            <w:r w:rsidRPr="00DB682F">
              <w:rPr>
                <w:rFonts w:ascii="Arial" w:eastAsia="Times New Roman" w:hAnsi="Arial" w:cs="Arial"/>
                <w:b/>
                <w:bCs/>
                <w:color w:val="FFFFFF"/>
                <w:sz w:val="18"/>
                <w:szCs w:val="18"/>
              </w:rPr>
              <w:t>E7 Non Net Metered</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2013</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26,561</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64,152</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3,674</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52,123</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2014</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27,151</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64,068</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3,756</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52,055</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2015</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27,755</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63,985</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3,839</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51,988</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2016</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28,372</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63,902</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3,925</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51,920</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2017</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29,002</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63,819</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4,012</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51,853</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2018</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29,647</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63,736</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4,101</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51,785</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2019</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30,305</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63,653</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4,192</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51,718</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2020</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30,979</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63,570</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4,285</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51,651</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2021</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31,667</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63,488</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4,380</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51,584</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2022</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32,371</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63,405</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4,478</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254844">
            <w:pPr>
              <w:keepNext/>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51,517</w:t>
            </w:r>
          </w:p>
        </w:tc>
      </w:tr>
      <w:tr w:rsidR="003745B3" w:rsidRPr="00DB682F" w:rsidTr="00FE519D">
        <w:trPr>
          <w:trHeight w:val="300"/>
          <w:jc w:val="center"/>
        </w:trPr>
        <w:tc>
          <w:tcPr>
            <w:tcW w:w="1041"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DB682F">
            <w:pPr>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2023</w:t>
            </w:r>
          </w:p>
        </w:tc>
        <w:tc>
          <w:tcPr>
            <w:tcW w:w="2044" w:type="dxa"/>
            <w:tcBorders>
              <w:top w:val="single" w:sz="4" w:space="0" w:color="auto"/>
              <w:left w:val="nil"/>
              <w:bottom w:val="single" w:sz="4" w:space="0" w:color="auto"/>
              <w:right w:val="single" w:sz="4" w:space="0" w:color="auto"/>
            </w:tcBorders>
            <w:vAlign w:val="center"/>
          </w:tcPr>
          <w:p w:rsidR="003745B3" w:rsidRPr="003745B3" w:rsidRDefault="003745B3" w:rsidP="003745B3">
            <w:pPr>
              <w:spacing w:after="0" w:line="240" w:lineRule="auto"/>
              <w:jc w:val="center"/>
              <w:rPr>
                <w:rFonts w:ascii="Arial" w:hAnsi="Arial" w:cs="Arial"/>
                <w:color w:val="000000"/>
                <w:sz w:val="18"/>
                <w:szCs w:val="18"/>
              </w:rPr>
            </w:pPr>
            <w:r w:rsidRPr="003745B3">
              <w:rPr>
                <w:rFonts w:ascii="Arial" w:hAnsi="Arial" w:cs="Arial"/>
                <w:color w:val="000000"/>
                <w:sz w:val="18"/>
                <w:szCs w:val="18"/>
              </w:rPr>
              <w:t>33,090</w:t>
            </w:r>
          </w:p>
        </w:tc>
        <w:tc>
          <w:tcPr>
            <w:tcW w:w="2044" w:type="dxa"/>
            <w:tcBorders>
              <w:top w:val="single" w:sz="4" w:space="0" w:color="auto"/>
              <w:left w:val="single" w:sz="4" w:space="0" w:color="auto"/>
              <w:bottom w:val="single" w:sz="4" w:space="0" w:color="auto"/>
              <w:right w:val="single" w:sz="4" w:space="0" w:color="auto"/>
            </w:tcBorders>
            <w:vAlign w:val="center"/>
          </w:tcPr>
          <w:p w:rsidR="00CA0B2A" w:rsidRDefault="003745B3">
            <w:pPr>
              <w:spacing w:before="60" w:after="60" w:line="240" w:lineRule="auto"/>
              <w:jc w:val="center"/>
              <w:rPr>
                <w:rFonts w:ascii="Arial" w:hAnsi="Arial" w:cs="Arial"/>
                <w:color w:val="000000"/>
                <w:sz w:val="18"/>
                <w:szCs w:val="18"/>
              </w:rPr>
            </w:pPr>
            <w:r w:rsidRPr="003745B3">
              <w:rPr>
                <w:rFonts w:ascii="Arial" w:hAnsi="Arial" w:cs="Arial"/>
                <w:color w:val="000000"/>
                <w:sz w:val="18"/>
                <w:szCs w:val="18"/>
              </w:rPr>
              <w:t>63,323</w:t>
            </w:r>
          </w:p>
        </w:tc>
        <w:tc>
          <w:tcPr>
            <w:tcW w:w="2328" w:type="dxa"/>
            <w:tcBorders>
              <w:top w:val="nil"/>
              <w:left w:val="single" w:sz="4" w:space="0" w:color="auto"/>
              <w:bottom w:val="single" w:sz="4" w:space="0" w:color="auto"/>
              <w:right w:val="single" w:sz="4" w:space="0" w:color="auto"/>
            </w:tcBorders>
            <w:shd w:val="clear" w:color="auto" w:fill="auto"/>
            <w:noWrap/>
            <w:vAlign w:val="center"/>
            <w:hideMark/>
          </w:tcPr>
          <w:p w:rsidR="003745B3" w:rsidRPr="00DB682F" w:rsidRDefault="003745B3" w:rsidP="00DB682F">
            <w:pPr>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4,577</w:t>
            </w:r>
          </w:p>
        </w:tc>
        <w:tc>
          <w:tcPr>
            <w:tcW w:w="2026" w:type="dxa"/>
            <w:tcBorders>
              <w:top w:val="nil"/>
              <w:left w:val="nil"/>
              <w:bottom w:val="single" w:sz="4" w:space="0" w:color="auto"/>
              <w:right w:val="single" w:sz="4" w:space="0" w:color="auto"/>
            </w:tcBorders>
            <w:shd w:val="clear" w:color="auto" w:fill="auto"/>
            <w:noWrap/>
            <w:vAlign w:val="center"/>
            <w:hideMark/>
          </w:tcPr>
          <w:p w:rsidR="003745B3" w:rsidRPr="00DB682F" w:rsidRDefault="003745B3" w:rsidP="00DB682F">
            <w:pPr>
              <w:spacing w:after="0" w:line="240" w:lineRule="auto"/>
              <w:jc w:val="center"/>
              <w:rPr>
                <w:rFonts w:ascii="Arial" w:eastAsia="Times New Roman" w:hAnsi="Arial" w:cs="Arial"/>
                <w:color w:val="000000"/>
                <w:sz w:val="18"/>
                <w:szCs w:val="18"/>
              </w:rPr>
            </w:pPr>
            <w:r w:rsidRPr="00DB682F">
              <w:rPr>
                <w:rFonts w:ascii="Arial" w:eastAsia="Times New Roman" w:hAnsi="Arial" w:cs="Arial"/>
                <w:color w:val="000000"/>
                <w:sz w:val="18"/>
                <w:szCs w:val="18"/>
              </w:rPr>
              <w:t>51,450</w:t>
            </w:r>
          </w:p>
        </w:tc>
      </w:tr>
    </w:tbl>
    <w:p w:rsidR="00DB682F" w:rsidRPr="00DB682F" w:rsidRDefault="00DB682F" w:rsidP="00DB682F">
      <w:pPr>
        <w:pStyle w:val="BodyParagraph"/>
      </w:pPr>
    </w:p>
    <w:p w:rsidR="00364C9D" w:rsidRPr="00612923" w:rsidRDefault="00364C9D" w:rsidP="00EE337F">
      <w:pPr>
        <w:pStyle w:val="Heading2"/>
      </w:pPr>
      <w:bookmarkStart w:id="114" w:name="_Toc349193913"/>
      <w:bookmarkStart w:id="115" w:name="_Toc352567326"/>
      <w:r w:rsidRPr="00612923">
        <w:t>Aggregate Load Impacts by Year</w:t>
      </w:r>
      <w:bookmarkEnd w:id="114"/>
      <w:bookmarkEnd w:id="115"/>
    </w:p>
    <w:p w:rsidR="00364C9D" w:rsidRPr="00612923" w:rsidRDefault="00364C9D" w:rsidP="00364C9D">
      <w:pPr>
        <w:pStyle w:val="BodyParagraph"/>
      </w:pPr>
      <w:r w:rsidRPr="00612923">
        <w:t>Table 8-3 summarizes the projected program load reduction for each forecast year under 1-in-2 and 1</w:t>
      </w:r>
      <w:r w:rsidRPr="00612923">
        <w:noBreakHyphen/>
        <w:t>in</w:t>
      </w:r>
      <w:r w:rsidRPr="00612923">
        <w:noBreakHyphen/>
        <w:t xml:space="preserve">10 year weather conditions.  The values reflect the average load reduction capability across the </w:t>
      </w:r>
      <w:r w:rsidR="00102328" w:rsidRPr="00612923">
        <w:t>1</w:t>
      </w:r>
      <w:r w:rsidRPr="00612923">
        <w:t xml:space="preserve"> to 6 PM peak period time frame.  </w:t>
      </w:r>
      <w:r w:rsidR="00096C30">
        <w:t xml:space="preserve">Hours 12 PM and 7 PM are not included in this table as only the hours 1 to 6 PM are peak hours for both E-6 and E-7.  </w:t>
      </w:r>
      <w:r w:rsidRPr="00612923">
        <w:t>Load reductions vary from hour to hour and are higher for system peak hours.  Based on 1-in-2 year weather conditions, aggregate average peak perio</w:t>
      </w:r>
      <w:r w:rsidR="007F27A0">
        <w:t xml:space="preserve">d load reductions equal </w:t>
      </w:r>
      <w:r w:rsidR="00096C30">
        <w:t>16.3</w:t>
      </w:r>
      <w:r w:rsidR="005A5513">
        <w:t xml:space="preserve"> MW for the roughly 56</w:t>
      </w:r>
      <w:r w:rsidRPr="00612923">
        <w:t>,000 customers en</w:t>
      </w:r>
      <w:r w:rsidR="00102328" w:rsidRPr="00612923">
        <w:t xml:space="preserve">rolled in 2013; and </w:t>
      </w:r>
      <w:r w:rsidR="00DC41D3">
        <w:t>remain that way until</w:t>
      </w:r>
      <w:r w:rsidRPr="00612923">
        <w:t xml:space="preserve"> 2023, as enrollment </w:t>
      </w:r>
      <w:r w:rsidR="00DC41D3">
        <w:t>stays steady</w:t>
      </w:r>
      <w:r w:rsidR="00102328" w:rsidRPr="00612923">
        <w:t>.</w:t>
      </w:r>
      <w:r w:rsidR="00F01B01" w:rsidRPr="00612923">
        <w:t xml:space="preserve">  Percent reductions remain constant because the customer mix is not forecasted to change.</w:t>
      </w:r>
    </w:p>
    <w:p w:rsidR="00364C9D" w:rsidRDefault="00364C9D" w:rsidP="00364C9D">
      <w:pPr>
        <w:pStyle w:val="TableFigureCaption"/>
      </w:pPr>
      <w:bookmarkStart w:id="116" w:name="_Ref286687084"/>
      <w:r w:rsidRPr="00612923">
        <w:lastRenderedPageBreak/>
        <w:t xml:space="preserve">Table </w:t>
      </w:r>
      <w:bookmarkEnd w:id="116"/>
      <w:r w:rsidRPr="00612923">
        <w:t xml:space="preserve">8-3: Summary of Aggregate Ex Ante Load Impacts for Residential TOU Tariffs by Year, E-6 and E-7 Non-Net Metered Customers </w:t>
      </w:r>
      <w:r w:rsidR="002C126F" w:rsidRPr="00612923">
        <w:br/>
      </w:r>
      <w:r w:rsidRPr="00612923">
        <w:t>(Average 1 PM – 6 PM Peak Period Reduction on the Annual System Peak Day)</w:t>
      </w:r>
    </w:p>
    <w:tbl>
      <w:tblPr>
        <w:tblW w:w="8200" w:type="dxa"/>
        <w:jc w:val="center"/>
        <w:tblInd w:w="93" w:type="dxa"/>
        <w:tblLook w:val="04A0"/>
      </w:tblPr>
      <w:tblGrid>
        <w:gridCol w:w="1156"/>
        <w:gridCol w:w="1140"/>
        <w:gridCol w:w="1120"/>
        <w:gridCol w:w="1087"/>
        <w:gridCol w:w="980"/>
        <w:gridCol w:w="980"/>
        <w:gridCol w:w="1096"/>
        <w:gridCol w:w="980"/>
      </w:tblGrid>
      <w:tr w:rsidR="00096C30" w:rsidRPr="00096C30" w:rsidTr="00931F6D">
        <w:trPr>
          <w:trHeight w:val="720"/>
          <w:jc w:val="center"/>
        </w:trPr>
        <w:tc>
          <w:tcPr>
            <w:tcW w:w="1040"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096C30" w:rsidRPr="00096C30" w:rsidRDefault="00096C30"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Weather Conditions</w:t>
            </w:r>
          </w:p>
        </w:tc>
        <w:tc>
          <w:tcPr>
            <w:tcW w:w="1140" w:type="dxa"/>
            <w:tcBorders>
              <w:top w:val="single" w:sz="4" w:space="0" w:color="auto"/>
              <w:left w:val="nil"/>
              <w:bottom w:val="single" w:sz="4" w:space="0" w:color="auto"/>
              <w:right w:val="single" w:sz="4" w:space="0" w:color="FFFFFF"/>
            </w:tcBorders>
            <w:shd w:val="clear" w:color="000000" w:fill="1F497D"/>
            <w:vAlign w:val="center"/>
            <w:hideMark/>
          </w:tcPr>
          <w:p w:rsidR="00096C30" w:rsidRPr="00096C30" w:rsidRDefault="00096C30"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Year</w:t>
            </w:r>
          </w:p>
        </w:tc>
        <w:tc>
          <w:tcPr>
            <w:tcW w:w="1120" w:type="dxa"/>
            <w:tcBorders>
              <w:top w:val="single" w:sz="4" w:space="0" w:color="auto"/>
              <w:left w:val="nil"/>
              <w:bottom w:val="single" w:sz="4" w:space="0" w:color="auto"/>
              <w:right w:val="single" w:sz="4" w:space="0" w:color="FFFFFF"/>
            </w:tcBorders>
            <w:shd w:val="clear" w:color="000000" w:fill="1F497D"/>
            <w:vAlign w:val="center"/>
            <w:hideMark/>
          </w:tcPr>
          <w:p w:rsidR="00096C30" w:rsidRPr="00096C30" w:rsidRDefault="00096C30"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Accounts</w:t>
            </w:r>
          </w:p>
        </w:tc>
        <w:tc>
          <w:tcPr>
            <w:tcW w:w="980" w:type="dxa"/>
            <w:tcBorders>
              <w:top w:val="single" w:sz="4" w:space="0" w:color="auto"/>
              <w:left w:val="nil"/>
              <w:bottom w:val="single" w:sz="4" w:space="0" w:color="auto"/>
              <w:right w:val="single" w:sz="4" w:space="0" w:color="FFFFFF"/>
            </w:tcBorders>
            <w:shd w:val="clear" w:color="000000" w:fill="1F497D"/>
            <w:vAlign w:val="center"/>
            <w:hideMark/>
          </w:tcPr>
          <w:p w:rsidR="00096C30" w:rsidRPr="00096C30" w:rsidRDefault="00096C30"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Reference Load (MW)</w:t>
            </w:r>
          </w:p>
        </w:tc>
        <w:tc>
          <w:tcPr>
            <w:tcW w:w="980" w:type="dxa"/>
            <w:tcBorders>
              <w:top w:val="single" w:sz="4" w:space="0" w:color="auto"/>
              <w:left w:val="nil"/>
              <w:bottom w:val="single" w:sz="4" w:space="0" w:color="auto"/>
              <w:right w:val="single" w:sz="4" w:space="0" w:color="FFFFFF"/>
            </w:tcBorders>
            <w:shd w:val="clear" w:color="000000" w:fill="1F497D"/>
            <w:vAlign w:val="center"/>
            <w:hideMark/>
          </w:tcPr>
          <w:p w:rsidR="00096C30" w:rsidRPr="00096C30" w:rsidRDefault="00096C30"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Load with DR (MW)</w:t>
            </w:r>
          </w:p>
        </w:tc>
        <w:tc>
          <w:tcPr>
            <w:tcW w:w="980" w:type="dxa"/>
            <w:tcBorders>
              <w:top w:val="single" w:sz="4" w:space="0" w:color="auto"/>
              <w:left w:val="nil"/>
              <w:bottom w:val="single" w:sz="4" w:space="0" w:color="auto"/>
              <w:right w:val="single" w:sz="4" w:space="0" w:color="FFFFFF"/>
            </w:tcBorders>
            <w:shd w:val="clear" w:color="000000" w:fill="1F497D"/>
            <w:vAlign w:val="center"/>
            <w:hideMark/>
          </w:tcPr>
          <w:p w:rsidR="00096C30" w:rsidRPr="00096C30" w:rsidRDefault="00096C30" w:rsidP="00254844">
            <w:pPr>
              <w:keepNext/>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Load Impact (MW)</w:t>
            </w:r>
          </w:p>
        </w:tc>
        <w:tc>
          <w:tcPr>
            <w:tcW w:w="980" w:type="dxa"/>
            <w:tcBorders>
              <w:top w:val="single" w:sz="4" w:space="0" w:color="auto"/>
              <w:left w:val="nil"/>
              <w:bottom w:val="single" w:sz="4" w:space="0" w:color="auto"/>
              <w:right w:val="single" w:sz="4" w:space="0" w:color="FFFFFF"/>
            </w:tcBorders>
            <w:shd w:val="clear" w:color="000000" w:fill="1F497D"/>
            <w:vAlign w:val="center"/>
            <w:hideMark/>
          </w:tcPr>
          <w:p w:rsidR="00096C30" w:rsidRPr="00096C30" w:rsidRDefault="00096C30" w:rsidP="00096C30">
            <w:pPr>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 Load Reduction</w:t>
            </w:r>
          </w:p>
        </w:tc>
        <w:tc>
          <w:tcPr>
            <w:tcW w:w="980" w:type="dxa"/>
            <w:tcBorders>
              <w:top w:val="single" w:sz="4" w:space="0" w:color="auto"/>
              <w:left w:val="nil"/>
              <w:bottom w:val="single" w:sz="4" w:space="0" w:color="auto"/>
              <w:right w:val="single" w:sz="4" w:space="0" w:color="auto"/>
            </w:tcBorders>
            <w:shd w:val="clear" w:color="000000" w:fill="1F497D"/>
            <w:vAlign w:val="center"/>
            <w:hideMark/>
          </w:tcPr>
          <w:p w:rsidR="00096C30" w:rsidRPr="00096C30" w:rsidRDefault="00096C30" w:rsidP="00096C30">
            <w:pPr>
              <w:spacing w:after="0" w:line="240" w:lineRule="auto"/>
              <w:jc w:val="center"/>
              <w:rPr>
                <w:rFonts w:ascii="Arial" w:eastAsia="Times New Roman" w:hAnsi="Arial" w:cs="Arial"/>
                <w:b/>
                <w:bCs/>
                <w:color w:val="FFFFFF"/>
                <w:sz w:val="18"/>
                <w:szCs w:val="18"/>
              </w:rPr>
            </w:pPr>
            <w:r w:rsidRPr="00096C30">
              <w:rPr>
                <w:rFonts w:ascii="Arial" w:eastAsia="Times New Roman" w:hAnsi="Arial" w:cs="Arial"/>
                <w:b/>
                <w:bCs/>
                <w:color w:val="FFFFFF"/>
                <w:sz w:val="18"/>
                <w:szCs w:val="18"/>
              </w:rPr>
              <w:t>Avg. Temp (°F)</w:t>
            </w:r>
          </w:p>
        </w:tc>
      </w:tr>
      <w:tr w:rsidR="00096C30" w:rsidRPr="00096C30" w:rsidTr="00931F6D">
        <w:trPr>
          <w:trHeight w:val="300"/>
          <w:jc w:val="center"/>
        </w:trPr>
        <w:tc>
          <w:tcPr>
            <w:tcW w:w="10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1-in-2</w:t>
            </w: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2013</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55,796</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117.2</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100.9</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6C30" w:rsidRPr="00096C30" w:rsidRDefault="00096C30" w:rsidP="00096C30">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13.9%</w:t>
            </w:r>
          </w:p>
        </w:tc>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6C30" w:rsidRPr="00096C30" w:rsidRDefault="00096C30" w:rsidP="00096C30">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92</w:t>
            </w: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2014</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55,810</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117.2</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100.9</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2015</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55,826</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117.3</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101.0</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2016</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55,843</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117.3</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101.0</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2017</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55,863</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117.3</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101.0</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2018</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55,884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101.1</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2019</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55,908</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101.1</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2020</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55,934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117.5</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101.2</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2021</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55,962</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117.6</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101.2</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2022</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55,992</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117.6</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101.3</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2023</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56,024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117.7</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101.3</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16.3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1-in-10</w:t>
            </w: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2013</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55,796</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128.7</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6C30" w:rsidRPr="00096C30" w:rsidRDefault="00096C30" w:rsidP="00096C30">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14.2%</w:t>
            </w:r>
          </w:p>
        </w:tc>
        <w:tc>
          <w:tcPr>
            <w:tcW w:w="9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96C30" w:rsidRPr="00096C30" w:rsidRDefault="00096C30" w:rsidP="00096C30">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95</w:t>
            </w: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2014</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55,810</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128.7</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2015</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55,826</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128.7</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2016</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55,843</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128.8</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110.5</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2017</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55,863</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128.8</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110.5</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2018</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55,884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128.9</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110.6</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2019</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55,908</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128.9</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110.6</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2020</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55,934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129.0</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110.6</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2021</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55,962</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129.0</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110.7</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254844">
            <w:pPr>
              <w:keepNext/>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2022</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55,992</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129.1</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110.8</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254844">
            <w:pPr>
              <w:keepNext/>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18.3</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r w:rsidR="00096C30" w:rsidRPr="00096C30" w:rsidTr="00931F6D">
        <w:trPr>
          <w:trHeight w:val="300"/>
          <w:jc w:val="center"/>
        </w:trPr>
        <w:tc>
          <w:tcPr>
            <w:tcW w:w="104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114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096C30">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2023</w:t>
            </w:r>
          </w:p>
        </w:tc>
        <w:tc>
          <w:tcPr>
            <w:tcW w:w="112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096C30">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56,024</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096C30">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129.2</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096C30">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110.8</w:t>
            </w:r>
          </w:p>
        </w:tc>
        <w:tc>
          <w:tcPr>
            <w:tcW w:w="980" w:type="dxa"/>
            <w:tcBorders>
              <w:top w:val="nil"/>
              <w:left w:val="nil"/>
              <w:bottom w:val="single" w:sz="4" w:space="0" w:color="auto"/>
              <w:right w:val="single" w:sz="4" w:space="0" w:color="auto"/>
            </w:tcBorders>
            <w:shd w:val="clear" w:color="auto" w:fill="auto"/>
            <w:noWrap/>
            <w:vAlign w:val="center"/>
            <w:hideMark/>
          </w:tcPr>
          <w:p w:rsidR="00096C30" w:rsidRPr="00096C30" w:rsidRDefault="00096C30" w:rsidP="00096C30">
            <w:pPr>
              <w:spacing w:after="0" w:line="240" w:lineRule="auto"/>
              <w:jc w:val="center"/>
              <w:rPr>
                <w:rFonts w:ascii="Calibri" w:eastAsia="Times New Roman" w:hAnsi="Calibri" w:cs="Times New Roman"/>
                <w:color w:val="000000"/>
              </w:rPr>
            </w:pPr>
            <w:r w:rsidRPr="00096C30">
              <w:rPr>
                <w:rFonts w:ascii="Calibri" w:eastAsia="Times New Roman" w:hAnsi="Calibri" w:cs="Times New Roman"/>
                <w:color w:val="000000"/>
              </w:rPr>
              <w:t>18.4</w:t>
            </w: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c>
          <w:tcPr>
            <w:tcW w:w="980" w:type="dxa"/>
            <w:vMerge/>
            <w:tcBorders>
              <w:top w:val="nil"/>
              <w:left w:val="single" w:sz="4" w:space="0" w:color="auto"/>
              <w:bottom w:val="single" w:sz="4" w:space="0" w:color="auto"/>
              <w:right w:val="single" w:sz="4" w:space="0" w:color="auto"/>
            </w:tcBorders>
            <w:vAlign w:val="center"/>
            <w:hideMark/>
          </w:tcPr>
          <w:p w:rsidR="00096C30" w:rsidRPr="00096C30" w:rsidRDefault="00096C30" w:rsidP="00096C30">
            <w:pPr>
              <w:spacing w:after="0" w:line="240" w:lineRule="auto"/>
              <w:rPr>
                <w:rFonts w:ascii="Calibri" w:eastAsia="Times New Roman" w:hAnsi="Calibri" w:cs="Times New Roman"/>
                <w:color w:val="000000"/>
              </w:rPr>
            </w:pPr>
          </w:p>
        </w:tc>
      </w:tr>
    </w:tbl>
    <w:p w:rsidR="00364C9D" w:rsidRPr="00612923" w:rsidRDefault="00A22ACF" w:rsidP="00364C9D">
      <w:pPr>
        <w:pStyle w:val="BodyParaAfterTableFigure"/>
      </w:pPr>
      <w:bookmarkStart w:id="117" w:name="_Toc289273131"/>
      <w:r>
        <w:t>E</w:t>
      </w:r>
      <w:r w:rsidR="00364C9D" w:rsidRPr="00612923">
        <w:t>x ante load impacts closely mirror the ex post</w:t>
      </w:r>
      <w:r w:rsidR="00DA524A" w:rsidRPr="00612923">
        <w:t xml:space="preserve"> results.  For example, the 1</w:t>
      </w:r>
      <w:r w:rsidR="003C64CF">
        <w:t>3.</w:t>
      </w:r>
      <w:r w:rsidR="00E6472D">
        <w:t>9</w:t>
      </w:r>
      <w:r w:rsidR="00364C9D" w:rsidRPr="00612923">
        <w:t>% reduction in a 1-in-2 system peak day compares well with the</w:t>
      </w:r>
      <w:r w:rsidR="00DA524A" w:rsidRPr="00612923">
        <w:t xml:space="preserve"> 10</w:t>
      </w:r>
      <w:r w:rsidR="00364C9D" w:rsidRPr="00612923">
        <w:t xml:space="preserve">% reduction measured during peak hours on August 12, 2012, the yearly system peak day in 2012.  However, the ex ante values produced in this year’s evaluation are higher, by a small amount, than those produced in last year’s evaluation.  For example, the 2011 evaluation forecast </w:t>
      </w:r>
      <w:r w:rsidR="00DA524A" w:rsidRPr="00612923">
        <w:t>15 MW and 11</w:t>
      </w:r>
      <w:r w:rsidR="00364C9D" w:rsidRPr="00612923">
        <w:t xml:space="preserve"> MW of demand reduction for the 2013 and 2020 annual system peaks under 1-in-2 weather conditions.  This year, we project </w:t>
      </w:r>
      <w:r w:rsidR="00E6472D">
        <w:t xml:space="preserve">14 </w:t>
      </w:r>
      <w:r w:rsidR="00364C9D" w:rsidRPr="00612923">
        <w:t xml:space="preserve">MW </w:t>
      </w:r>
      <w:r w:rsidR="00131DE3">
        <w:t>in both cases</w:t>
      </w:r>
      <w:r w:rsidR="00364C9D" w:rsidRPr="00612923">
        <w:t xml:space="preserve"> for the same years.  There are two main reasons for the difference: the attrition rate was updated (affecting enrollment) and we adjusted the modeling approach to better account for how weather variation affects TOU impacts.  Last year’s ex ante estimates factored in a 3.8% attrition rate; this year’s estimates use a 2.9% attrition rate.  The attrition rate was updated to reflect the most current information.  The changes in the modeling approach led to more weather sensitivity in both the reference loads and the TOU impacts.  On per customer basis, the reference load and percent impacts for the 1-in-2 annual peak (August) went up from 1.58 kW to 1.66 kW and from a reduction of </w:t>
      </w:r>
      <w:r w:rsidR="00DA524A" w:rsidRPr="00612923">
        <w:t>14</w:t>
      </w:r>
      <w:r w:rsidR="00364C9D" w:rsidRPr="00612923">
        <w:t xml:space="preserve">% to a reduction of </w:t>
      </w:r>
      <w:r w:rsidR="00DA524A" w:rsidRPr="00612923">
        <w:t>16</w:t>
      </w:r>
      <w:r w:rsidR="00364C9D" w:rsidRPr="00612923">
        <w:t xml:space="preserve">%.  These differences are minor and simply reflect improvements compared to last year’s analytical approach.  </w:t>
      </w:r>
    </w:p>
    <w:p w:rsidR="00364C9D" w:rsidRPr="00612923" w:rsidRDefault="00364C9D" w:rsidP="00EE337F">
      <w:pPr>
        <w:pStyle w:val="Heading2"/>
      </w:pPr>
      <w:bookmarkStart w:id="118" w:name="_Toc349193914"/>
      <w:bookmarkStart w:id="119" w:name="_Toc352567327"/>
      <w:r w:rsidRPr="00612923">
        <w:lastRenderedPageBreak/>
        <w:t>1-in-2 Annual Peak Impacts per Customer</w:t>
      </w:r>
      <w:bookmarkEnd w:id="117"/>
      <w:bookmarkEnd w:id="118"/>
      <w:bookmarkEnd w:id="119"/>
    </w:p>
    <w:p w:rsidR="00FD127A" w:rsidRPr="00612923" w:rsidRDefault="00364C9D" w:rsidP="00EE337F">
      <w:pPr>
        <w:pStyle w:val="BodyParagraph"/>
      </w:pPr>
      <w:r w:rsidRPr="00612923">
        <w:t>Figure</w:t>
      </w:r>
      <w:r w:rsidR="00F01B01" w:rsidRPr="00612923">
        <w:t>s</w:t>
      </w:r>
      <w:r w:rsidRPr="00612923">
        <w:t xml:space="preserve"> 8-2 </w:t>
      </w:r>
      <w:r w:rsidR="00F01B01" w:rsidRPr="00612923">
        <w:t xml:space="preserve">and Figure 8-3 </w:t>
      </w:r>
      <w:r w:rsidRPr="00612923">
        <w:t xml:space="preserve">show estimates of hourly load impacts for the forecast year 2013 for the average </w:t>
      </w:r>
      <w:r w:rsidR="00F01B01" w:rsidRPr="00612923">
        <w:t xml:space="preserve">E-6 and E-7 </w:t>
      </w:r>
      <w:r w:rsidRPr="00612923">
        <w:t>customer</w:t>
      </w:r>
      <w:r w:rsidR="00F01B01" w:rsidRPr="00612923">
        <w:t>, respectively,</w:t>
      </w:r>
      <w:r w:rsidRPr="00612923">
        <w:t xml:space="preserve"> based on 1-in-2 annual peak conditions.  The impacts per customer equal 0.33 kW for the 4</w:t>
      </w:r>
      <w:r w:rsidR="002C126F" w:rsidRPr="00612923">
        <w:t> </w:t>
      </w:r>
      <w:r w:rsidRPr="00612923">
        <w:t>to 5 PM period, which is when the system peak typically occurs.  The average reduction during the peak pe</w:t>
      </w:r>
      <w:r w:rsidR="00F01B01" w:rsidRPr="00612923">
        <w:t xml:space="preserve">riod is </w:t>
      </w:r>
      <w:r w:rsidR="00C008DB" w:rsidRPr="00612923">
        <w:t>1</w:t>
      </w:r>
      <w:r w:rsidR="00C008DB">
        <w:t>4</w:t>
      </w:r>
      <w:r w:rsidRPr="00612923">
        <w:t xml:space="preserve">% for E-6 </w:t>
      </w:r>
      <w:r w:rsidR="00C008DB">
        <w:t xml:space="preserve">customers </w:t>
      </w:r>
      <w:r w:rsidRPr="00612923">
        <w:t>and</w:t>
      </w:r>
      <w:r w:rsidR="00C008DB">
        <w:t xml:space="preserve"> 16%</w:t>
      </w:r>
      <w:r w:rsidRPr="00612923">
        <w:t xml:space="preserve"> </w:t>
      </w:r>
      <w:r w:rsidR="00131DE3">
        <w:t xml:space="preserve">for </w:t>
      </w:r>
      <w:r w:rsidRPr="00612923">
        <w:t>E-7 customers.  The load patterns indicate that customers are responsive to TOU price signals: during the peak period, they consume less electricity, while during the off-peak period, they consume more electricity.  Load reductions are concentrated during the peak period and are statistically significant.  Again, these impacts are slightly higher than those found in last year’s evaluation; the difference can be explained by differences in the model used.  Similar tables are available in electronic format, with drop down menus for local capacity areas, 1-in-2 and 1-in-10 weather years, month of year, and monthly system peak days versus average weekdays.</w:t>
      </w:r>
    </w:p>
    <w:p w:rsidR="00364C9D" w:rsidRPr="00612923" w:rsidRDefault="00364C9D" w:rsidP="00FD127A">
      <w:pPr>
        <w:pStyle w:val="BodyParagraph"/>
      </w:pPr>
    </w:p>
    <w:p w:rsidR="00364C9D" w:rsidRPr="00612923" w:rsidRDefault="00364C9D" w:rsidP="00FD127A">
      <w:pPr>
        <w:pStyle w:val="BodyParagraph"/>
        <w:sectPr w:rsidR="00364C9D" w:rsidRPr="00612923" w:rsidSect="00364C9D">
          <w:headerReference w:type="default" r:id="rId45"/>
          <w:pgSz w:w="12240" w:h="15840"/>
          <w:pgMar w:top="1440" w:right="1440" w:bottom="1440" w:left="1440" w:header="720" w:footer="720" w:gutter="0"/>
          <w:cols w:space="720"/>
          <w:docGrid w:linePitch="360"/>
        </w:sectPr>
      </w:pPr>
    </w:p>
    <w:p w:rsidR="00D508AD" w:rsidRDefault="00D508AD" w:rsidP="00D508AD">
      <w:pPr>
        <w:pStyle w:val="TableFigureCaption"/>
        <w:rPr>
          <w:b w:val="0"/>
        </w:rPr>
      </w:pPr>
      <w:bookmarkStart w:id="120" w:name="_Ref286687109"/>
      <w:r w:rsidRPr="00612923">
        <w:lastRenderedPageBreak/>
        <w:t xml:space="preserve">Figure </w:t>
      </w:r>
      <w:bookmarkEnd w:id="120"/>
      <w:r w:rsidRPr="00612923">
        <w:t>8-2: Average E-6 Non-</w:t>
      </w:r>
      <w:r w:rsidR="002C126F" w:rsidRPr="00612923">
        <w:t>n</w:t>
      </w:r>
      <w:r w:rsidRPr="00612923">
        <w:t>et Metered Customer Hourly Load Impact Estimates</w:t>
      </w:r>
      <w:r w:rsidRPr="00612923">
        <w:br/>
        <w:t xml:space="preserve"> Based on 2012 Enrollment (1-in-2 Annual Peak Conditions)</w:t>
      </w:r>
      <w:r w:rsidRPr="00612923">
        <w:rPr>
          <w:b w:val="0"/>
        </w:rPr>
        <w:t xml:space="preserve"> </w:t>
      </w:r>
    </w:p>
    <w:p w:rsidR="00435338" w:rsidRPr="00435338" w:rsidRDefault="0024215A" w:rsidP="00435338">
      <w:pPr>
        <w:pStyle w:val="BodyParagraph"/>
      </w:pPr>
      <w:r w:rsidRPr="0024215A">
        <w:rPr>
          <w:noProof/>
        </w:rPr>
        <w:drawing>
          <wp:inline distT="0" distB="0" distL="0" distR="0">
            <wp:extent cx="8229600" cy="434820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0" cy="4348202"/>
                    </a:xfrm>
                    <a:prstGeom prst="rect">
                      <a:avLst/>
                    </a:prstGeom>
                    <a:noFill/>
                    <a:ln>
                      <a:noFill/>
                    </a:ln>
                  </pic:spPr>
                </pic:pic>
              </a:graphicData>
            </a:graphic>
          </wp:inline>
        </w:drawing>
      </w:r>
    </w:p>
    <w:p w:rsidR="00DB682F" w:rsidRPr="00DB682F" w:rsidRDefault="00DB682F" w:rsidP="00DB682F">
      <w:pPr>
        <w:pStyle w:val="BodyParaAfterTableFigure"/>
      </w:pPr>
    </w:p>
    <w:p w:rsidR="00D508AD" w:rsidRPr="00612923" w:rsidRDefault="00D508AD" w:rsidP="00D508AD">
      <w:pPr>
        <w:pStyle w:val="BodyParaAfterTableFigure"/>
      </w:pPr>
    </w:p>
    <w:p w:rsidR="00D508AD" w:rsidRDefault="00D508AD" w:rsidP="00D508AD">
      <w:pPr>
        <w:pStyle w:val="TableFigureCaption"/>
        <w:rPr>
          <w:b w:val="0"/>
        </w:rPr>
      </w:pPr>
      <w:r w:rsidRPr="00612923">
        <w:lastRenderedPageBreak/>
        <w:t>Figure 8-</w:t>
      </w:r>
      <w:r w:rsidR="00761C52" w:rsidRPr="00612923">
        <w:t>3</w:t>
      </w:r>
      <w:r w:rsidRPr="00612923">
        <w:t>: Average E-7 Non-</w:t>
      </w:r>
      <w:r w:rsidR="002C126F" w:rsidRPr="00612923">
        <w:t>n</w:t>
      </w:r>
      <w:r w:rsidRPr="00612923">
        <w:t>et Metered Customer Hourly Load Impact Estimates</w:t>
      </w:r>
      <w:r w:rsidRPr="00612923">
        <w:br/>
        <w:t xml:space="preserve"> Based on 2012 Enrollment (1-in-2 Annual Peak Conditions)</w:t>
      </w:r>
      <w:r w:rsidRPr="00612923">
        <w:rPr>
          <w:b w:val="0"/>
        </w:rPr>
        <w:t xml:space="preserve"> </w:t>
      </w:r>
    </w:p>
    <w:p w:rsidR="00D508AD" w:rsidRPr="00612923" w:rsidRDefault="00435338" w:rsidP="00FD127A">
      <w:pPr>
        <w:pStyle w:val="BodyParagraph"/>
        <w:sectPr w:rsidR="00D508AD" w:rsidRPr="00612923" w:rsidSect="00D508AD">
          <w:headerReference w:type="default" r:id="rId47"/>
          <w:pgSz w:w="15840" w:h="12240" w:orient="landscape"/>
          <w:pgMar w:top="1440" w:right="1440" w:bottom="1440" w:left="1440" w:header="720" w:footer="720" w:gutter="0"/>
          <w:cols w:space="720"/>
          <w:docGrid w:linePitch="360"/>
        </w:sectPr>
      </w:pPr>
      <w:r w:rsidRPr="00435338">
        <w:rPr>
          <w:noProof/>
        </w:rPr>
        <w:drawing>
          <wp:inline distT="0" distB="0" distL="0" distR="0">
            <wp:extent cx="8229600" cy="458590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0" cy="4585909"/>
                    </a:xfrm>
                    <a:prstGeom prst="rect">
                      <a:avLst/>
                    </a:prstGeom>
                    <a:noFill/>
                    <a:ln>
                      <a:noFill/>
                    </a:ln>
                  </pic:spPr>
                </pic:pic>
              </a:graphicData>
            </a:graphic>
          </wp:inline>
        </w:drawing>
      </w:r>
    </w:p>
    <w:p w:rsidR="00D508AD" w:rsidRPr="00612923" w:rsidRDefault="00D508AD" w:rsidP="00D508AD">
      <w:pPr>
        <w:pStyle w:val="Heading2"/>
      </w:pPr>
      <w:bookmarkStart w:id="121" w:name="_Toc349193915"/>
      <w:bookmarkStart w:id="122" w:name="_Toc352567328"/>
      <w:r w:rsidRPr="00612923">
        <w:lastRenderedPageBreak/>
        <w:t>Projected 1-in-2 and 1-in-10 Aggregate Peak Period Impacts by Forecast Year and Month</w:t>
      </w:r>
      <w:bookmarkEnd w:id="121"/>
      <w:bookmarkEnd w:id="122"/>
    </w:p>
    <w:p w:rsidR="00D508AD" w:rsidRPr="00612923" w:rsidRDefault="00D508AD" w:rsidP="00D508AD">
      <w:pPr>
        <w:pStyle w:val="BodyParagraph"/>
      </w:pPr>
      <w:r w:rsidRPr="00612923">
        <w:t>Table 8-4 summarizes the estimated aggregate load reduction capabilities for each forecast year and month under 1-in-2 and 1-in-10 system peak conditions.  The load impacts are largest during the summer months, when the difference between peak and off-peak prices is highest.  During the winter months the impacts are much smaller and are not significantly different than zero.  These results are comparable to last year’s.</w:t>
      </w:r>
    </w:p>
    <w:p w:rsidR="00D508AD" w:rsidRDefault="00D508AD" w:rsidP="00D508AD">
      <w:pPr>
        <w:pStyle w:val="TableFigureCaption"/>
      </w:pPr>
      <w:bookmarkStart w:id="123" w:name="_Ref286687126"/>
      <w:r w:rsidRPr="00612923">
        <w:t xml:space="preserve">Table </w:t>
      </w:r>
      <w:bookmarkEnd w:id="123"/>
      <w:r w:rsidRPr="00612923">
        <w:t>8-4: Aggregate Ex Ante Load Impacts (MW) for Non-</w:t>
      </w:r>
      <w:r w:rsidR="006833F2" w:rsidRPr="00612923">
        <w:t>n</w:t>
      </w:r>
      <w:r w:rsidRPr="00612923">
        <w:t>et Metered E-6 &amp; E-7 Customers</w:t>
      </w:r>
      <w:r w:rsidRPr="00612923">
        <w:br/>
        <w:t xml:space="preserve">for Monthly System Peak Days by Year and Weather Conditions </w:t>
      </w:r>
      <w:r w:rsidRPr="00612923">
        <w:br/>
        <w:t>(Average Load Impact from 1 PM to 6 PM)</w:t>
      </w:r>
    </w:p>
    <w:tbl>
      <w:tblPr>
        <w:tblW w:w="10005" w:type="dxa"/>
        <w:jc w:val="center"/>
        <w:tblInd w:w="93" w:type="dxa"/>
        <w:tblLook w:val="04A0"/>
      </w:tblPr>
      <w:tblGrid>
        <w:gridCol w:w="1156"/>
        <w:gridCol w:w="749"/>
        <w:gridCol w:w="1120"/>
        <w:gridCol w:w="527"/>
        <w:gridCol w:w="572"/>
        <w:gridCol w:w="571"/>
        <w:gridCol w:w="630"/>
        <w:gridCol w:w="567"/>
        <w:gridCol w:w="603"/>
        <w:gridCol w:w="567"/>
        <w:gridCol w:w="603"/>
        <w:gridCol w:w="567"/>
        <w:gridCol w:w="603"/>
        <w:gridCol w:w="557"/>
        <w:gridCol w:w="613"/>
      </w:tblGrid>
      <w:tr w:rsidR="00C6146A" w:rsidRPr="00C6146A" w:rsidTr="006F3904">
        <w:trPr>
          <w:trHeight w:val="480"/>
          <w:jc w:val="center"/>
        </w:trPr>
        <w:tc>
          <w:tcPr>
            <w:tcW w:w="1156"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Weather Conditions</w:t>
            </w:r>
          </w:p>
        </w:tc>
        <w:tc>
          <w:tcPr>
            <w:tcW w:w="749" w:type="dxa"/>
            <w:tcBorders>
              <w:top w:val="single" w:sz="4" w:space="0" w:color="auto"/>
              <w:left w:val="nil"/>
              <w:bottom w:val="single" w:sz="4" w:space="0" w:color="auto"/>
              <w:right w:val="single" w:sz="4" w:space="0" w:color="FFFFFF"/>
            </w:tcBorders>
            <w:shd w:val="clear" w:color="000000" w:fill="1F497D"/>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Year</w:t>
            </w:r>
          </w:p>
        </w:tc>
        <w:tc>
          <w:tcPr>
            <w:tcW w:w="1120" w:type="dxa"/>
            <w:tcBorders>
              <w:top w:val="single" w:sz="4" w:space="0" w:color="auto"/>
              <w:left w:val="nil"/>
              <w:bottom w:val="single" w:sz="4" w:space="0" w:color="auto"/>
              <w:right w:val="single" w:sz="4" w:space="0" w:color="FFFFFF"/>
            </w:tcBorders>
            <w:shd w:val="clear" w:color="000000" w:fill="1F497D"/>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Accounts</w:t>
            </w:r>
          </w:p>
        </w:tc>
        <w:tc>
          <w:tcPr>
            <w:tcW w:w="527"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Jan</w:t>
            </w:r>
          </w:p>
        </w:tc>
        <w:tc>
          <w:tcPr>
            <w:tcW w:w="572"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Feb</w:t>
            </w:r>
          </w:p>
        </w:tc>
        <w:tc>
          <w:tcPr>
            <w:tcW w:w="571"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Mar</w:t>
            </w:r>
          </w:p>
        </w:tc>
        <w:tc>
          <w:tcPr>
            <w:tcW w:w="63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Apr</w:t>
            </w:r>
          </w:p>
        </w:tc>
        <w:tc>
          <w:tcPr>
            <w:tcW w:w="567"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May</w:t>
            </w:r>
          </w:p>
        </w:tc>
        <w:tc>
          <w:tcPr>
            <w:tcW w:w="603"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Jun</w:t>
            </w:r>
          </w:p>
        </w:tc>
        <w:tc>
          <w:tcPr>
            <w:tcW w:w="567"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Jul</w:t>
            </w:r>
          </w:p>
        </w:tc>
        <w:tc>
          <w:tcPr>
            <w:tcW w:w="603"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Aug</w:t>
            </w:r>
          </w:p>
        </w:tc>
        <w:tc>
          <w:tcPr>
            <w:tcW w:w="567"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Sep</w:t>
            </w:r>
          </w:p>
        </w:tc>
        <w:tc>
          <w:tcPr>
            <w:tcW w:w="603"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Oct</w:t>
            </w:r>
          </w:p>
        </w:tc>
        <w:tc>
          <w:tcPr>
            <w:tcW w:w="557"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Nov</w:t>
            </w:r>
          </w:p>
        </w:tc>
        <w:tc>
          <w:tcPr>
            <w:tcW w:w="613" w:type="dxa"/>
            <w:tcBorders>
              <w:top w:val="single" w:sz="4" w:space="0" w:color="auto"/>
              <w:left w:val="nil"/>
              <w:bottom w:val="single" w:sz="4" w:space="0" w:color="auto"/>
              <w:right w:val="single" w:sz="4" w:space="0" w:color="auto"/>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Dec</w:t>
            </w:r>
          </w:p>
        </w:tc>
      </w:tr>
      <w:tr w:rsidR="00C6146A" w:rsidRPr="00C6146A" w:rsidTr="006F3904">
        <w:trPr>
          <w:trHeight w:val="300"/>
          <w:jc w:val="center"/>
        </w:trPr>
        <w:tc>
          <w:tcPr>
            <w:tcW w:w="11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1-in-2</w:t>
            </w: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2013</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55,796</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6.4</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15.9</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16.2</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13.1</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2014</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55,810</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6.4</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15.9</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16.2</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13.1</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2015</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55,826</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6.4</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15.9</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16.2</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13.1</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2016</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55,843</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6.4</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15.9</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16.2</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13.1</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2017</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55,863</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6.4</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15.9</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16.2</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13.2</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2018</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55,884</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6.4</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16.0</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16.2</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13.2</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2019</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55,908</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6.4</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16.0</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16.2</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13.2</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2020</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55,934</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6.5</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12.2</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16.0</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16.2</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13.2</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2021</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55,962</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6.5</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12.2</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16.0</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16.2</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13.2</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2022</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55,992</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6.5</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12.2</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16.0</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16.3</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13.2</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2023</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56,024</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6.5</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12.2</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16.0</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18.1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16.3</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15.0</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13.2</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5.8</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r>
      <w:tr w:rsidR="00C6146A" w:rsidRPr="00C6146A" w:rsidTr="006F3904">
        <w:trPr>
          <w:trHeight w:val="300"/>
          <w:jc w:val="center"/>
        </w:trPr>
        <w:tc>
          <w:tcPr>
            <w:tcW w:w="11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1-in-10</w:t>
            </w: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2013</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55,796</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16.8</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19.0</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17.7</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2014</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55,810</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16.8</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19.0</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17.7</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2015</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55,826</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16.8</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19.0</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17.8</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2016</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55,843</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16.8</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17.8</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2017</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55,863</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16.8</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17.8</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2018</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55,884</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16.8</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17.8</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2019</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55,908</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16.8</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17.8</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2020</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55,934</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16.9</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17.8</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2021</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55,962</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16.9</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17.8</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254844">
            <w:pPr>
              <w:keepNext/>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2022</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55,992</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16.9</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17.8</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r w:rsidR="00C6146A" w:rsidRPr="00C6146A" w:rsidTr="006F3904">
        <w:trPr>
          <w:trHeight w:val="300"/>
          <w:jc w:val="center"/>
        </w:trPr>
        <w:tc>
          <w:tcPr>
            <w:tcW w:w="1156" w:type="dxa"/>
            <w:vMerge/>
            <w:tcBorders>
              <w:top w:val="nil"/>
              <w:left w:val="single" w:sz="4" w:space="0" w:color="auto"/>
              <w:bottom w:val="single" w:sz="4" w:space="0" w:color="auto"/>
              <w:right w:val="single" w:sz="4" w:space="0" w:color="auto"/>
            </w:tcBorders>
            <w:vAlign w:val="center"/>
            <w:hideMark/>
          </w:tcPr>
          <w:p w:rsidR="00C6146A" w:rsidRPr="00C6146A" w:rsidRDefault="00C6146A" w:rsidP="00C6146A">
            <w:pPr>
              <w:spacing w:after="0" w:line="240" w:lineRule="auto"/>
              <w:rPr>
                <w:rFonts w:ascii="Arial" w:eastAsia="Times New Roman" w:hAnsi="Arial" w:cs="Arial"/>
                <w:color w:val="000000"/>
                <w:sz w:val="18"/>
                <w:szCs w:val="18"/>
              </w:rPr>
            </w:pPr>
          </w:p>
        </w:tc>
        <w:tc>
          <w:tcPr>
            <w:tcW w:w="749"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2023</w:t>
            </w:r>
          </w:p>
        </w:tc>
        <w:tc>
          <w:tcPr>
            <w:tcW w:w="11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56,024</w:t>
            </w:r>
          </w:p>
        </w:tc>
        <w:tc>
          <w:tcPr>
            <w:tcW w:w="52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5.6</w:t>
            </w:r>
          </w:p>
        </w:tc>
        <w:tc>
          <w:tcPr>
            <w:tcW w:w="572"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571"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6.6</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16.9</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19.1</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19.2</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17.8</w:t>
            </w:r>
          </w:p>
        </w:tc>
        <w:tc>
          <w:tcPr>
            <w:tcW w:w="56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17.3</w:t>
            </w:r>
          </w:p>
        </w:tc>
        <w:tc>
          <w:tcPr>
            <w:tcW w:w="60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15.6</w:t>
            </w:r>
          </w:p>
        </w:tc>
        <w:tc>
          <w:tcPr>
            <w:tcW w:w="557"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5.7</w:t>
            </w:r>
          </w:p>
        </w:tc>
        <w:tc>
          <w:tcPr>
            <w:tcW w:w="613"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5.5</w:t>
            </w:r>
          </w:p>
        </w:tc>
      </w:tr>
    </w:tbl>
    <w:p w:rsidR="002711B4" w:rsidRPr="002711B4" w:rsidRDefault="002711B4" w:rsidP="002711B4">
      <w:pPr>
        <w:pStyle w:val="BodyParagraph"/>
      </w:pPr>
    </w:p>
    <w:p w:rsidR="00D508AD" w:rsidRPr="00612923" w:rsidRDefault="00D508AD" w:rsidP="00D508AD">
      <w:pPr>
        <w:pStyle w:val="BodyParaAfterTableFigure"/>
      </w:pPr>
      <w:r w:rsidRPr="00612923">
        <w:t>Table 8-5 summarizes the average weekday load shifting for the average TOU customer; it reflects the</w:t>
      </w:r>
      <w:r w:rsidR="006833F2" w:rsidRPr="00612923">
        <w:t> </w:t>
      </w:r>
      <w:r w:rsidRPr="00612923">
        <w:t>rates’ conservation effects (positive values) and any potential increases in consumption (negative values) due to lower prices.  Customers tend to decrease electricity use during peak periods, particularly during the summer.  The decrease in peak usage is statistically significant in all months.  The increase in usage in the hours leading up to the event is also significant.  These results follow the same pattern found in last year’s evaluation.</w:t>
      </w:r>
    </w:p>
    <w:p w:rsidR="00D508AD" w:rsidRDefault="00D508AD" w:rsidP="00D508AD">
      <w:pPr>
        <w:pStyle w:val="TableFigureCaption"/>
      </w:pPr>
      <w:bookmarkStart w:id="124" w:name="_Ref286687144"/>
      <w:r w:rsidRPr="00612923">
        <w:lastRenderedPageBreak/>
        <w:t xml:space="preserve">Table </w:t>
      </w:r>
      <w:bookmarkEnd w:id="124"/>
      <w:r w:rsidRPr="00612923">
        <w:t xml:space="preserve">8-5: Average E-6 &amp; E-7 </w:t>
      </w:r>
      <w:proofErr w:type="gramStart"/>
      <w:r w:rsidRPr="00612923">
        <w:t>Non-</w:t>
      </w:r>
      <w:r w:rsidR="006833F2" w:rsidRPr="00612923">
        <w:t>n</w:t>
      </w:r>
      <w:r w:rsidRPr="00612923">
        <w:t>et</w:t>
      </w:r>
      <w:proofErr w:type="gramEnd"/>
      <w:r w:rsidRPr="00612923">
        <w:t xml:space="preserve"> Metered Customer Ex Ante Load Reductions (kW) </w:t>
      </w:r>
      <w:r w:rsidRPr="00612923">
        <w:br/>
        <w:t>for the Average Week Day by Hour and Month for 1-in-2 Year Weather Conditions</w:t>
      </w:r>
    </w:p>
    <w:tbl>
      <w:tblPr>
        <w:tblW w:w="9555" w:type="dxa"/>
        <w:tblInd w:w="93" w:type="dxa"/>
        <w:tblLook w:val="04A0"/>
      </w:tblPr>
      <w:tblGrid>
        <w:gridCol w:w="1040"/>
        <w:gridCol w:w="685"/>
        <w:gridCol w:w="720"/>
        <w:gridCol w:w="630"/>
        <w:gridCol w:w="630"/>
        <w:gridCol w:w="630"/>
        <w:gridCol w:w="630"/>
        <w:gridCol w:w="630"/>
        <w:gridCol w:w="720"/>
        <w:gridCol w:w="630"/>
        <w:gridCol w:w="630"/>
        <w:gridCol w:w="720"/>
        <w:gridCol w:w="630"/>
        <w:gridCol w:w="630"/>
      </w:tblGrid>
      <w:tr w:rsidR="00C6146A" w:rsidRPr="00C6146A" w:rsidTr="00931F6D">
        <w:trPr>
          <w:trHeight w:val="300"/>
        </w:trPr>
        <w:tc>
          <w:tcPr>
            <w:tcW w:w="1040"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Hour</w:t>
            </w:r>
          </w:p>
        </w:tc>
        <w:tc>
          <w:tcPr>
            <w:tcW w:w="685"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Jan</w:t>
            </w:r>
          </w:p>
        </w:tc>
        <w:tc>
          <w:tcPr>
            <w:tcW w:w="72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Feb</w:t>
            </w:r>
          </w:p>
        </w:tc>
        <w:tc>
          <w:tcPr>
            <w:tcW w:w="63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Mar</w:t>
            </w:r>
          </w:p>
        </w:tc>
        <w:tc>
          <w:tcPr>
            <w:tcW w:w="63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Apr</w:t>
            </w:r>
          </w:p>
        </w:tc>
        <w:tc>
          <w:tcPr>
            <w:tcW w:w="63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May</w:t>
            </w:r>
          </w:p>
        </w:tc>
        <w:tc>
          <w:tcPr>
            <w:tcW w:w="63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Jun</w:t>
            </w:r>
          </w:p>
        </w:tc>
        <w:tc>
          <w:tcPr>
            <w:tcW w:w="63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Jul</w:t>
            </w:r>
          </w:p>
        </w:tc>
        <w:tc>
          <w:tcPr>
            <w:tcW w:w="72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Aug</w:t>
            </w:r>
          </w:p>
        </w:tc>
        <w:tc>
          <w:tcPr>
            <w:tcW w:w="63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Sep</w:t>
            </w:r>
          </w:p>
        </w:tc>
        <w:tc>
          <w:tcPr>
            <w:tcW w:w="63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Oct</w:t>
            </w:r>
          </w:p>
        </w:tc>
        <w:tc>
          <w:tcPr>
            <w:tcW w:w="72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Nov</w:t>
            </w:r>
          </w:p>
        </w:tc>
        <w:tc>
          <w:tcPr>
            <w:tcW w:w="630" w:type="dxa"/>
            <w:tcBorders>
              <w:top w:val="single" w:sz="4" w:space="0" w:color="auto"/>
              <w:left w:val="nil"/>
              <w:bottom w:val="single" w:sz="4" w:space="0" w:color="auto"/>
              <w:right w:val="single" w:sz="4" w:space="0" w:color="FFFFFF"/>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r w:rsidRPr="00C6146A">
              <w:rPr>
                <w:rFonts w:ascii="Arial" w:eastAsia="Times New Roman" w:hAnsi="Arial" w:cs="Arial"/>
                <w:b/>
                <w:bCs/>
                <w:color w:val="FFFFFF"/>
                <w:sz w:val="18"/>
                <w:szCs w:val="18"/>
              </w:rPr>
              <w:t>Dec</w:t>
            </w:r>
          </w:p>
        </w:tc>
        <w:tc>
          <w:tcPr>
            <w:tcW w:w="630" w:type="dxa"/>
            <w:tcBorders>
              <w:top w:val="single" w:sz="4" w:space="0" w:color="auto"/>
              <w:left w:val="nil"/>
              <w:bottom w:val="single" w:sz="4" w:space="0" w:color="auto"/>
              <w:right w:val="single" w:sz="4" w:space="0" w:color="auto"/>
            </w:tcBorders>
            <w:shd w:val="clear" w:color="000000" w:fill="1F497D"/>
            <w:noWrap/>
            <w:vAlign w:val="center"/>
            <w:hideMark/>
          </w:tcPr>
          <w:p w:rsidR="00C6146A" w:rsidRPr="00C6146A" w:rsidRDefault="00C6146A" w:rsidP="00254844">
            <w:pPr>
              <w:keepNext/>
              <w:spacing w:after="0" w:line="240" w:lineRule="auto"/>
              <w:jc w:val="center"/>
              <w:rPr>
                <w:rFonts w:ascii="Arial" w:eastAsia="Times New Roman" w:hAnsi="Arial" w:cs="Arial"/>
                <w:b/>
                <w:bCs/>
                <w:color w:val="FFFFFF"/>
                <w:sz w:val="18"/>
                <w:szCs w:val="18"/>
              </w:rPr>
            </w:pPr>
            <w:proofErr w:type="spellStart"/>
            <w:r w:rsidRPr="00C6146A">
              <w:rPr>
                <w:rFonts w:ascii="Arial" w:eastAsia="Times New Roman" w:hAnsi="Arial" w:cs="Arial"/>
                <w:b/>
                <w:bCs/>
                <w:color w:val="FFFFFF"/>
                <w:sz w:val="18"/>
                <w:szCs w:val="18"/>
              </w:rPr>
              <w:t>Avg</w:t>
            </w:r>
            <w:proofErr w:type="spellEnd"/>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0.03</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0.00</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3:00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-0.01</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4:00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-0.02</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-0.03</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-0.05</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7:00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-0.09</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-0.09</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8:00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-0.13</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-0.12</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-0.12</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9:00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-0.16</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-0.17</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10:00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-0.14</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-0.15</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-0.16</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-0.15</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11:00 AM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-0.09</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-0.02</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0.08</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2:00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0.19</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0.13</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0.13</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3:00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0.24</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0.16</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0.15</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4:00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0.26</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0.19</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0.17</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5:00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0.26</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0.20</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0.18</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6:00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0.22</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0.21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0.17</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0.11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0.15</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7:00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0.04</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8:00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0.00</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0.00</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9:00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0.00</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0.03</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10:00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0.00</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0.04</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11:00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0.03</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0.07</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0.05</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12:00 PM</w:t>
            </w:r>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0.08</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0.05</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0.04</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0.06</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color w:val="000000"/>
                <w:sz w:val="18"/>
                <w:szCs w:val="18"/>
              </w:rPr>
            </w:pPr>
            <w:r w:rsidRPr="00C6146A">
              <w:rPr>
                <w:rFonts w:ascii="Arial" w:eastAsia="Times New Roman" w:hAnsi="Arial" w:cs="Arial"/>
                <w:color w:val="000000"/>
                <w:sz w:val="18"/>
                <w:szCs w:val="18"/>
              </w:rPr>
              <w:t>0.09</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254844">
            <w:pPr>
              <w:keepNext/>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0.06</w:t>
            </w:r>
          </w:p>
        </w:tc>
      </w:tr>
      <w:tr w:rsidR="00C6146A" w:rsidRPr="00C6146A" w:rsidTr="00931F6D">
        <w:trPr>
          <w:trHeight w:val="300"/>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proofErr w:type="spellStart"/>
            <w:r w:rsidRPr="00C6146A">
              <w:rPr>
                <w:rFonts w:ascii="Arial" w:eastAsia="Times New Roman" w:hAnsi="Arial" w:cs="Arial"/>
                <w:b/>
                <w:bCs/>
                <w:color w:val="000000"/>
                <w:sz w:val="18"/>
                <w:szCs w:val="18"/>
              </w:rPr>
              <w:t>Avg</w:t>
            </w:r>
            <w:proofErr w:type="spellEnd"/>
          </w:p>
        </w:tc>
        <w:tc>
          <w:tcPr>
            <w:tcW w:w="685"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0.02</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0.02</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0.01</w:t>
            </w:r>
          </w:p>
        </w:tc>
        <w:tc>
          <w:tcPr>
            <w:tcW w:w="72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0.01</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0.02</w:t>
            </w:r>
          </w:p>
        </w:tc>
        <w:tc>
          <w:tcPr>
            <w:tcW w:w="630" w:type="dxa"/>
            <w:tcBorders>
              <w:top w:val="nil"/>
              <w:left w:val="nil"/>
              <w:bottom w:val="single" w:sz="4" w:space="0" w:color="auto"/>
              <w:right w:val="single" w:sz="4" w:space="0" w:color="auto"/>
            </w:tcBorders>
            <w:shd w:val="clear" w:color="auto" w:fill="auto"/>
            <w:noWrap/>
            <w:vAlign w:val="center"/>
            <w:hideMark/>
          </w:tcPr>
          <w:p w:rsidR="00C6146A" w:rsidRPr="00C6146A" w:rsidRDefault="00C6146A" w:rsidP="00C6146A">
            <w:pPr>
              <w:spacing w:after="0" w:line="240" w:lineRule="auto"/>
              <w:jc w:val="center"/>
              <w:rPr>
                <w:rFonts w:ascii="Arial" w:eastAsia="Times New Roman" w:hAnsi="Arial" w:cs="Arial"/>
                <w:b/>
                <w:bCs/>
                <w:color w:val="000000"/>
                <w:sz w:val="18"/>
                <w:szCs w:val="18"/>
              </w:rPr>
            </w:pPr>
            <w:r w:rsidRPr="00C6146A">
              <w:rPr>
                <w:rFonts w:ascii="Arial" w:eastAsia="Times New Roman" w:hAnsi="Arial" w:cs="Arial"/>
                <w:b/>
                <w:bCs/>
                <w:color w:val="000000"/>
                <w:sz w:val="18"/>
                <w:szCs w:val="18"/>
              </w:rPr>
              <w:t>0.02</w:t>
            </w:r>
          </w:p>
        </w:tc>
      </w:tr>
    </w:tbl>
    <w:p w:rsidR="00C6146A" w:rsidRPr="00C6146A" w:rsidRDefault="00C6146A" w:rsidP="00931F6D">
      <w:pPr>
        <w:pStyle w:val="BodyParagraph"/>
      </w:pPr>
    </w:p>
    <w:p w:rsidR="00D508AD" w:rsidRPr="00612923" w:rsidRDefault="00D508AD" w:rsidP="00D508AD">
      <w:pPr>
        <w:pStyle w:val="Heading2"/>
        <w:spacing w:before="360"/>
      </w:pPr>
      <w:bookmarkStart w:id="125" w:name="_Toc349193916"/>
      <w:bookmarkStart w:id="126" w:name="_Toc352567329"/>
      <w:r w:rsidRPr="00612923">
        <w:t>Comparison of Ex Ante and Ex Post Results</w:t>
      </w:r>
      <w:bookmarkEnd w:id="125"/>
      <w:bookmarkEnd w:id="126"/>
    </w:p>
    <w:p w:rsidR="00D508AD" w:rsidRPr="00612923" w:rsidRDefault="00D508AD" w:rsidP="00D508AD">
      <w:pPr>
        <w:pStyle w:val="BodyParagraph"/>
      </w:pPr>
      <w:r w:rsidRPr="00612923">
        <w:t>Table 8-6 shows a comparison between the ex ante and 2012 ex post results for the on-peak period</w:t>
      </w:r>
      <w:r w:rsidR="006833F2" w:rsidRPr="00612923">
        <w:t> </w:t>
      </w:r>
      <w:r w:rsidR="006F3904">
        <w:t xml:space="preserve">common to E-6 and E-7 </w:t>
      </w:r>
      <w:r w:rsidRPr="00612923">
        <w:t xml:space="preserve">(1 </w:t>
      </w:r>
      <w:r w:rsidR="00435338">
        <w:t>P</w:t>
      </w:r>
      <w:r w:rsidRPr="00612923">
        <w:t>M to 6 PM) for the average weekday and the monthly system peak day for the average customer.  The ex ante result is based on the 1-in-2 scenario.  The conditions in this scenario are generally comparable to weather conditions observed across PG&amp;E’s territory in 2012, and thus allow for a good comparison with the ex post results</w:t>
      </w:r>
      <w:r w:rsidR="0085403D" w:rsidRPr="00612923">
        <w:t>; although this is less so in the summer months</w:t>
      </w:r>
      <w:r w:rsidRPr="00612923">
        <w:t xml:space="preserve">.  The </w:t>
      </w:r>
      <w:r w:rsidR="0085403D" w:rsidRPr="00612923">
        <w:t>table shows that</w:t>
      </w:r>
      <w:r w:rsidRPr="00612923">
        <w:t xml:space="preserve"> ex ante and ex post impacts are generally very similar to one another</w:t>
      </w:r>
      <w:r w:rsidR="0085403D" w:rsidRPr="00612923">
        <w:t xml:space="preserve"> as a fraction of reference load</w:t>
      </w:r>
      <w:r w:rsidRPr="00612923">
        <w:t xml:space="preserve">.  </w:t>
      </w:r>
      <w:r w:rsidR="0085403D" w:rsidRPr="00612923">
        <w:t>Additionally, aside from the summer months, absolute reductions are also quite similar.  During the summer, e</w:t>
      </w:r>
      <w:r w:rsidRPr="00612923">
        <w:t>x ante impacts tend to be higher than ex post impacts</w:t>
      </w:r>
      <w:r w:rsidR="0085403D" w:rsidRPr="00612923">
        <w:t xml:space="preserve"> due to the ex ante conditions being hotter</w:t>
      </w:r>
      <w:r w:rsidRPr="00612923">
        <w:t>.</w:t>
      </w:r>
    </w:p>
    <w:p w:rsidR="00D508AD" w:rsidRPr="00612923" w:rsidRDefault="00D508AD" w:rsidP="00D508AD">
      <w:pPr>
        <w:pStyle w:val="BodyParagraph"/>
      </w:pPr>
      <w:r w:rsidRPr="00612923">
        <w:lastRenderedPageBreak/>
        <w:t>The fact that the ex post and ex ante results are so comparable to one another indicates that the ex ante model does a good job of predicting impacts, and helps validate the ex ante approach.</w:t>
      </w:r>
    </w:p>
    <w:p w:rsidR="00D508AD" w:rsidRDefault="00D508AD" w:rsidP="00D508AD">
      <w:pPr>
        <w:pStyle w:val="TableFigureCaption"/>
      </w:pPr>
      <w:r w:rsidRPr="00612923">
        <w:t xml:space="preserve">Table 8-6: Comparison of Ex Ante and Ex Post Results for Non-Net Metered E-6 &amp; E-7 Customers, </w:t>
      </w:r>
      <w:r w:rsidRPr="00612923">
        <w:br/>
        <w:t>Average Weekday and Monthly System Peak</w:t>
      </w:r>
    </w:p>
    <w:tbl>
      <w:tblPr>
        <w:tblW w:w="9180" w:type="dxa"/>
        <w:tblInd w:w="93" w:type="dxa"/>
        <w:tblLook w:val="04A0"/>
      </w:tblPr>
      <w:tblGrid>
        <w:gridCol w:w="1147"/>
        <w:gridCol w:w="1140"/>
        <w:gridCol w:w="1120"/>
        <w:gridCol w:w="980"/>
        <w:gridCol w:w="980"/>
        <w:gridCol w:w="980"/>
        <w:gridCol w:w="980"/>
        <w:gridCol w:w="980"/>
        <w:gridCol w:w="980"/>
      </w:tblGrid>
      <w:tr w:rsidR="006F3904" w:rsidRPr="006F3904" w:rsidTr="006F3904">
        <w:trPr>
          <w:trHeight w:val="315"/>
        </w:trPr>
        <w:tc>
          <w:tcPr>
            <w:tcW w:w="1040" w:type="dxa"/>
            <w:vMerge w:val="restart"/>
            <w:tcBorders>
              <w:top w:val="single" w:sz="8" w:space="0" w:color="auto"/>
              <w:left w:val="single" w:sz="8" w:space="0" w:color="auto"/>
              <w:bottom w:val="single" w:sz="8" w:space="0" w:color="000000"/>
              <w:right w:val="single" w:sz="8" w:space="0" w:color="FFFFFF"/>
            </w:tcBorders>
            <w:shd w:val="clear" w:color="000000" w:fill="1F497D"/>
            <w:noWrap/>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Month</w:t>
            </w:r>
          </w:p>
        </w:tc>
        <w:tc>
          <w:tcPr>
            <w:tcW w:w="4220" w:type="dxa"/>
            <w:gridSpan w:val="4"/>
            <w:tcBorders>
              <w:top w:val="single" w:sz="8" w:space="0" w:color="auto"/>
              <w:left w:val="nil"/>
              <w:bottom w:val="single" w:sz="8" w:space="0" w:color="FFFFFF"/>
              <w:right w:val="single" w:sz="8" w:space="0" w:color="FFFFFF"/>
            </w:tcBorders>
            <w:shd w:val="clear" w:color="000000" w:fill="1F497D"/>
            <w:noWrap/>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Average Weekday</w:t>
            </w:r>
          </w:p>
        </w:tc>
        <w:tc>
          <w:tcPr>
            <w:tcW w:w="3920" w:type="dxa"/>
            <w:gridSpan w:val="4"/>
            <w:tcBorders>
              <w:top w:val="single" w:sz="8" w:space="0" w:color="auto"/>
              <w:left w:val="nil"/>
              <w:bottom w:val="single" w:sz="8" w:space="0" w:color="FFFFFF"/>
              <w:right w:val="single" w:sz="8" w:space="0" w:color="000000"/>
            </w:tcBorders>
            <w:shd w:val="clear" w:color="000000" w:fill="1F497D"/>
            <w:noWrap/>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Monthly System Peak</w:t>
            </w:r>
          </w:p>
        </w:tc>
      </w:tr>
      <w:tr w:rsidR="006F3904" w:rsidRPr="006F3904" w:rsidTr="006F3904">
        <w:trPr>
          <w:trHeight w:val="315"/>
        </w:trPr>
        <w:tc>
          <w:tcPr>
            <w:tcW w:w="1040" w:type="dxa"/>
            <w:vMerge/>
            <w:tcBorders>
              <w:top w:val="single" w:sz="8" w:space="0" w:color="auto"/>
              <w:left w:val="single" w:sz="8" w:space="0" w:color="auto"/>
              <w:bottom w:val="single" w:sz="8" w:space="0" w:color="000000"/>
              <w:right w:val="single" w:sz="8" w:space="0" w:color="FFFFFF"/>
            </w:tcBorders>
            <w:vAlign w:val="center"/>
            <w:hideMark/>
          </w:tcPr>
          <w:p w:rsidR="006F3904" w:rsidRPr="006F3904" w:rsidRDefault="006F3904" w:rsidP="00254844">
            <w:pPr>
              <w:keepNext/>
              <w:spacing w:after="0" w:line="240" w:lineRule="auto"/>
              <w:rPr>
                <w:rFonts w:ascii="Arial" w:eastAsia="Times New Roman" w:hAnsi="Arial" w:cs="Arial"/>
                <w:b/>
                <w:bCs/>
                <w:color w:val="FFFFFF"/>
                <w:sz w:val="20"/>
                <w:szCs w:val="20"/>
              </w:rPr>
            </w:pPr>
          </w:p>
        </w:tc>
        <w:tc>
          <w:tcPr>
            <w:tcW w:w="2260" w:type="dxa"/>
            <w:gridSpan w:val="2"/>
            <w:tcBorders>
              <w:top w:val="single" w:sz="8" w:space="0" w:color="FFFFFF"/>
              <w:left w:val="nil"/>
              <w:bottom w:val="single" w:sz="8" w:space="0" w:color="FFFFFF"/>
              <w:right w:val="single" w:sz="8" w:space="0" w:color="FFFFFF"/>
            </w:tcBorders>
            <w:shd w:val="clear" w:color="000000" w:fill="1F497D"/>
            <w:noWrap/>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 Reduction</w:t>
            </w:r>
          </w:p>
        </w:tc>
        <w:tc>
          <w:tcPr>
            <w:tcW w:w="1960" w:type="dxa"/>
            <w:gridSpan w:val="2"/>
            <w:tcBorders>
              <w:top w:val="single" w:sz="8" w:space="0" w:color="FFFFFF"/>
              <w:left w:val="nil"/>
              <w:bottom w:val="single" w:sz="8" w:space="0" w:color="FFFFFF"/>
              <w:right w:val="single" w:sz="8" w:space="0" w:color="FFFFFF"/>
            </w:tcBorders>
            <w:shd w:val="clear" w:color="000000" w:fill="1F497D"/>
            <w:noWrap/>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kW Reduction</w:t>
            </w:r>
          </w:p>
        </w:tc>
        <w:tc>
          <w:tcPr>
            <w:tcW w:w="1960" w:type="dxa"/>
            <w:gridSpan w:val="2"/>
            <w:tcBorders>
              <w:top w:val="single" w:sz="8" w:space="0" w:color="FFFFFF"/>
              <w:left w:val="nil"/>
              <w:bottom w:val="single" w:sz="8" w:space="0" w:color="FFFFFF"/>
              <w:right w:val="single" w:sz="8" w:space="0" w:color="FFFFFF"/>
            </w:tcBorders>
            <w:shd w:val="clear" w:color="000000" w:fill="1F497D"/>
            <w:noWrap/>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 Reduction</w:t>
            </w:r>
          </w:p>
        </w:tc>
        <w:tc>
          <w:tcPr>
            <w:tcW w:w="1960" w:type="dxa"/>
            <w:gridSpan w:val="2"/>
            <w:tcBorders>
              <w:top w:val="single" w:sz="8" w:space="0" w:color="FFFFFF"/>
              <w:left w:val="nil"/>
              <w:bottom w:val="single" w:sz="8" w:space="0" w:color="FFFFFF"/>
              <w:right w:val="single" w:sz="8" w:space="0" w:color="000000"/>
            </w:tcBorders>
            <w:shd w:val="clear" w:color="000000" w:fill="1F497D"/>
            <w:noWrap/>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kW Reduction</w:t>
            </w:r>
          </w:p>
        </w:tc>
      </w:tr>
      <w:tr w:rsidR="006F3904" w:rsidRPr="006F3904" w:rsidTr="006F3904">
        <w:trPr>
          <w:trHeight w:val="315"/>
        </w:trPr>
        <w:tc>
          <w:tcPr>
            <w:tcW w:w="1040" w:type="dxa"/>
            <w:vMerge/>
            <w:tcBorders>
              <w:top w:val="single" w:sz="8" w:space="0" w:color="auto"/>
              <w:left w:val="single" w:sz="8" w:space="0" w:color="auto"/>
              <w:bottom w:val="single" w:sz="8" w:space="0" w:color="000000"/>
              <w:right w:val="single" w:sz="8" w:space="0" w:color="FFFFFF"/>
            </w:tcBorders>
            <w:vAlign w:val="center"/>
            <w:hideMark/>
          </w:tcPr>
          <w:p w:rsidR="006F3904" w:rsidRPr="006F3904" w:rsidRDefault="006F3904" w:rsidP="00254844">
            <w:pPr>
              <w:keepNext/>
              <w:spacing w:after="0" w:line="240" w:lineRule="auto"/>
              <w:rPr>
                <w:rFonts w:ascii="Arial" w:eastAsia="Times New Roman" w:hAnsi="Arial" w:cs="Arial"/>
                <w:b/>
                <w:bCs/>
                <w:color w:val="FFFFFF"/>
                <w:sz w:val="20"/>
                <w:szCs w:val="20"/>
              </w:rPr>
            </w:pPr>
          </w:p>
        </w:tc>
        <w:tc>
          <w:tcPr>
            <w:tcW w:w="1140" w:type="dxa"/>
            <w:tcBorders>
              <w:top w:val="nil"/>
              <w:left w:val="nil"/>
              <w:bottom w:val="single" w:sz="8" w:space="0" w:color="auto"/>
              <w:right w:val="single" w:sz="8" w:space="0" w:color="FFFFFF"/>
            </w:tcBorders>
            <w:shd w:val="clear" w:color="000000" w:fill="1F497D"/>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Ex Ante</w:t>
            </w:r>
          </w:p>
        </w:tc>
        <w:tc>
          <w:tcPr>
            <w:tcW w:w="1120" w:type="dxa"/>
            <w:tcBorders>
              <w:top w:val="nil"/>
              <w:left w:val="nil"/>
              <w:bottom w:val="single" w:sz="8" w:space="0" w:color="auto"/>
              <w:right w:val="single" w:sz="8" w:space="0" w:color="FFFFFF"/>
            </w:tcBorders>
            <w:shd w:val="clear" w:color="000000" w:fill="1F497D"/>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Ex Post</w:t>
            </w:r>
          </w:p>
        </w:tc>
        <w:tc>
          <w:tcPr>
            <w:tcW w:w="980" w:type="dxa"/>
            <w:tcBorders>
              <w:top w:val="nil"/>
              <w:left w:val="nil"/>
              <w:bottom w:val="single" w:sz="8" w:space="0" w:color="auto"/>
              <w:right w:val="single" w:sz="8" w:space="0" w:color="FFFFFF"/>
            </w:tcBorders>
            <w:shd w:val="clear" w:color="000000" w:fill="1F497D"/>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Ex Ante</w:t>
            </w:r>
          </w:p>
        </w:tc>
        <w:tc>
          <w:tcPr>
            <w:tcW w:w="980" w:type="dxa"/>
            <w:tcBorders>
              <w:top w:val="nil"/>
              <w:left w:val="nil"/>
              <w:bottom w:val="single" w:sz="8" w:space="0" w:color="auto"/>
              <w:right w:val="single" w:sz="8" w:space="0" w:color="FFFFFF"/>
            </w:tcBorders>
            <w:shd w:val="clear" w:color="000000" w:fill="1F497D"/>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Ex Post</w:t>
            </w:r>
          </w:p>
        </w:tc>
        <w:tc>
          <w:tcPr>
            <w:tcW w:w="980" w:type="dxa"/>
            <w:tcBorders>
              <w:top w:val="nil"/>
              <w:left w:val="nil"/>
              <w:bottom w:val="single" w:sz="8" w:space="0" w:color="auto"/>
              <w:right w:val="single" w:sz="8" w:space="0" w:color="FFFFFF"/>
            </w:tcBorders>
            <w:shd w:val="clear" w:color="000000" w:fill="1F497D"/>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Ex Ante</w:t>
            </w:r>
          </w:p>
        </w:tc>
        <w:tc>
          <w:tcPr>
            <w:tcW w:w="980" w:type="dxa"/>
            <w:tcBorders>
              <w:top w:val="nil"/>
              <w:left w:val="nil"/>
              <w:bottom w:val="single" w:sz="8" w:space="0" w:color="auto"/>
              <w:right w:val="single" w:sz="8" w:space="0" w:color="FFFFFF"/>
            </w:tcBorders>
            <w:shd w:val="clear" w:color="000000" w:fill="1F497D"/>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Ex Post</w:t>
            </w:r>
          </w:p>
        </w:tc>
        <w:tc>
          <w:tcPr>
            <w:tcW w:w="980" w:type="dxa"/>
            <w:tcBorders>
              <w:top w:val="nil"/>
              <w:left w:val="nil"/>
              <w:bottom w:val="single" w:sz="8" w:space="0" w:color="auto"/>
              <w:right w:val="single" w:sz="8" w:space="0" w:color="FFFFFF"/>
            </w:tcBorders>
            <w:shd w:val="clear" w:color="000000" w:fill="1F497D"/>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Ex Ante</w:t>
            </w:r>
          </w:p>
        </w:tc>
        <w:tc>
          <w:tcPr>
            <w:tcW w:w="980" w:type="dxa"/>
            <w:tcBorders>
              <w:top w:val="nil"/>
              <w:left w:val="nil"/>
              <w:bottom w:val="single" w:sz="8" w:space="0" w:color="auto"/>
              <w:right w:val="single" w:sz="8" w:space="0" w:color="auto"/>
            </w:tcBorders>
            <w:shd w:val="clear" w:color="000000" w:fill="1F497D"/>
            <w:vAlign w:val="center"/>
            <w:hideMark/>
          </w:tcPr>
          <w:p w:rsidR="006F3904" w:rsidRPr="006F3904" w:rsidRDefault="006F3904" w:rsidP="00254844">
            <w:pPr>
              <w:keepNext/>
              <w:spacing w:after="0" w:line="240" w:lineRule="auto"/>
              <w:jc w:val="center"/>
              <w:rPr>
                <w:rFonts w:ascii="Arial" w:eastAsia="Times New Roman" w:hAnsi="Arial" w:cs="Arial"/>
                <w:b/>
                <w:bCs/>
                <w:color w:val="FFFFFF"/>
                <w:sz w:val="20"/>
                <w:szCs w:val="20"/>
              </w:rPr>
            </w:pPr>
            <w:r w:rsidRPr="006F3904">
              <w:rPr>
                <w:rFonts w:ascii="Arial" w:eastAsia="Times New Roman" w:hAnsi="Arial" w:cs="Arial"/>
                <w:b/>
                <w:bCs/>
                <w:color w:val="FFFFFF"/>
                <w:sz w:val="20"/>
                <w:szCs w:val="20"/>
              </w:rPr>
              <w:t>Ex Post</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January</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9.7</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8.4</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9.3</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8.8</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0.12</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February</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10.1</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8.9</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0.09</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9.4</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9.6</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0.11</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March</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10.6</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11.1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10.0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12.7</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0.13</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April</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11.3</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11.1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12.0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10.5</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0.12</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0.11</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May</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12.8</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13.0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0.17</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0.14</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12.8</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15.3</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0.22</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0.21</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June</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13.2</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12.8</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0.16</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14.1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13.9</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0.29</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0.22</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July</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13.1</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10.0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0.23</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0.14</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14.0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5.6</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0.32</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0.10</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August</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13.3</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12.3</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0.23</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13.9</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9.8</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0.29</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0.20</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September</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13.4</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15.2</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0.22</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0.19</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13.5</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16.2</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0.27</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0.23</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October</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13.3</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12.9</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0.17</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0.14</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13.8</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19.0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0.24</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0.32</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November</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10.7</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2.9</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0.03</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9.9</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2.3</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254844">
            <w:pPr>
              <w:keepNext/>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0.03</w:t>
            </w:r>
          </w:p>
        </w:tc>
      </w:tr>
      <w:tr w:rsidR="006F3904" w:rsidRPr="006F3904" w:rsidTr="006F3904">
        <w:trPr>
          <w:trHeight w:val="315"/>
        </w:trPr>
        <w:tc>
          <w:tcPr>
            <w:tcW w:w="1040" w:type="dxa"/>
            <w:tcBorders>
              <w:top w:val="nil"/>
              <w:left w:val="single" w:sz="8" w:space="0" w:color="auto"/>
              <w:bottom w:val="single" w:sz="8" w:space="0" w:color="auto"/>
              <w:right w:val="single" w:sz="8" w:space="0" w:color="auto"/>
            </w:tcBorders>
            <w:shd w:val="clear" w:color="auto" w:fill="auto"/>
            <w:noWrap/>
            <w:vAlign w:val="center"/>
            <w:hideMark/>
          </w:tcPr>
          <w:p w:rsidR="006F3904" w:rsidRPr="006F3904" w:rsidRDefault="006F3904" w:rsidP="006F3904">
            <w:pPr>
              <w:spacing w:after="0" w:line="240" w:lineRule="auto"/>
              <w:jc w:val="center"/>
              <w:rPr>
                <w:rFonts w:ascii="Arial" w:eastAsia="Times New Roman" w:hAnsi="Arial" w:cs="Arial"/>
                <w:b/>
                <w:bCs/>
                <w:color w:val="000000"/>
                <w:sz w:val="18"/>
                <w:szCs w:val="18"/>
              </w:rPr>
            </w:pPr>
            <w:r w:rsidRPr="006F3904">
              <w:rPr>
                <w:rFonts w:ascii="Arial" w:eastAsia="Times New Roman" w:hAnsi="Arial" w:cs="Arial"/>
                <w:b/>
                <w:bCs/>
                <w:color w:val="000000"/>
                <w:sz w:val="18"/>
                <w:szCs w:val="18"/>
              </w:rPr>
              <w:t>December</w:t>
            </w:r>
          </w:p>
        </w:tc>
        <w:tc>
          <w:tcPr>
            <w:tcW w:w="114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6F3904">
            <w:pPr>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9.7</w:t>
            </w:r>
          </w:p>
        </w:tc>
        <w:tc>
          <w:tcPr>
            <w:tcW w:w="112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6F3904">
            <w:pPr>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3.1</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6F3904">
            <w:pPr>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6F3904">
            <w:pPr>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0.04</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6F3904">
            <w:pPr>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9.3</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6F3904">
            <w:pPr>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3.2</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6F3904">
            <w:pPr>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0.10</w:t>
            </w:r>
          </w:p>
        </w:tc>
        <w:tc>
          <w:tcPr>
            <w:tcW w:w="980" w:type="dxa"/>
            <w:tcBorders>
              <w:top w:val="nil"/>
              <w:left w:val="nil"/>
              <w:bottom w:val="single" w:sz="8" w:space="0" w:color="auto"/>
              <w:right w:val="single" w:sz="8" w:space="0" w:color="auto"/>
            </w:tcBorders>
            <w:shd w:val="clear" w:color="auto" w:fill="auto"/>
            <w:noWrap/>
            <w:vAlign w:val="center"/>
            <w:hideMark/>
          </w:tcPr>
          <w:p w:rsidR="006F3904" w:rsidRPr="006F3904" w:rsidRDefault="006F3904" w:rsidP="006F3904">
            <w:pPr>
              <w:spacing w:after="0" w:line="240" w:lineRule="auto"/>
              <w:jc w:val="center"/>
              <w:rPr>
                <w:rFonts w:ascii="Arial" w:eastAsia="Times New Roman" w:hAnsi="Arial" w:cs="Arial"/>
                <w:color w:val="000000"/>
                <w:sz w:val="20"/>
                <w:szCs w:val="20"/>
              </w:rPr>
            </w:pPr>
            <w:r w:rsidRPr="006F3904">
              <w:rPr>
                <w:rFonts w:ascii="Arial" w:eastAsia="Times New Roman" w:hAnsi="Arial" w:cs="Arial"/>
                <w:color w:val="000000"/>
                <w:sz w:val="20"/>
                <w:szCs w:val="20"/>
              </w:rPr>
              <w:t>0.04</w:t>
            </w:r>
          </w:p>
        </w:tc>
      </w:tr>
    </w:tbl>
    <w:p w:rsidR="00D508AD" w:rsidRPr="00612923" w:rsidRDefault="00D508AD" w:rsidP="00FD127A">
      <w:pPr>
        <w:pStyle w:val="BodyParagraph"/>
      </w:pPr>
    </w:p>
    <w:p w:rsidR="00721E89" w:rsidRPr="00612923" w:rsidRDefault="00721E89" w:rsidP="00701E06">
      <w:pPr>
        <w:pStyle w:val="BodyParagraph"/>
        <w:jc w:val="center"/>
        <w:rPr>
          <w:rFonts w:ascii="Arial" w:hAnsi="Arial"/>
        </w:rPr>
      </w:pPr>
      <w:r w:rsidRPr="00612923">
        <w:br w:type="page"/>
      </w:r>
    </w:p>
    <w:p w:rsidR="00832B87" w:rsidRPr="00C926EC" w:rsidRDefault="00D508AD" w:rsidP="00D508AD">
      <w:pPr>
        <w:pStyle w:val="AppendixHeading"/>
        <w:ind w:left="2160" w:hanging="2160"/>
      </w:pPr>
      <w:bookmarkStart w:id="127" w:name="_Toc352567330"/>
      <w:r w:rsidRPr="00C926EC">
        <w:lastRenderedPageBreak/>
        <w:t xml:space="preserve">Details on the Propensity Score Match </w:t>
      </w:r>
      <w:r w:rsidR="005164EE">
        <w:t xml:space="preserve">for 2012 </w:t>
      </w:r>
      <w:r w:rsidRPr="00C926EC">
        <w:t>SmartRate</w:t>
      </w:r>
      <w:r w:rsidR="005164EE">
        <w:t xml:space="preserve"> Ex Post Estimation</w:t>
      </w:r>
      <w:bookmarkEnd w:id="127"/>
    </w:p>
    <w:p w:rsidR="000148EA" w:rsidRDefault="00D508AD" w:rsidP="005164EE">
      <w:pPr>
        <w:pStyle w:val="BodyParagraph"/>
      </w:pPr>
      <w:r w:rsidRPr="00C926EC">
        <w:t>This appendix contains relevant technical details on the propensity score matching process used to develop a control group for SmartRate customers.</w:t>
      </w:r>
    </w:p>
    <w:p w:rsidR="005164EE" w:rsidRPr="00C926EC" w:rsidRDefault="005164EE" w:rsidP="005164EE">
      <w:pPr>
        <w:pStyle w:val="BodyParagraph"/>
      </w:pPr>
      <w:r>
        <w:t>We began with a pool of approximately 120,000 PG&amp;E residential customers who are not on SmartRate and for whom FSC had interval data covering summer 2012.</w:t>
      </w:r>
      <w:r w:rsidR="007E648F">
        <w:t xml:space="preserve">  A propensity score matching procedure was then used to select from this pool three groups of customers who were similar to the SmartRate population in terms of LCA, average summer monthly usage, CARE status and hourly usage on hot non-event days.  The matching process was actually done separately within each LCA so that LCA-level estimates could be easily developed.  Three groups were chosen because the shifting population during the summer meant that the control group early in the summer did not provide an accurate counterfactual later in the summer.</w:t>
      </w:r>
    </w:p>
    <w:p w:rsidR="005164EE" w:rsidRDefault="000148EA" w:rsidP="005164EE">
      <w:pPr>
        <w:pStyle w:val="BodyParagraph"/>
      </w:pPr>
      <w:r w:rsidRPr="00C926EC">
        <w:t>Tables A-</w:t>
      </w:r>
      <w:r w:rsidR="00A13AE8">
        <w:t>1</w:t>
      </w:r>
      <w:r w:rsidRPr="00C926EC">
        <w:t xml:space="preserve"> through A-</w:t>
      </w:r>
      <w:r w:rsidR="00A13AE8">
        <w:t>6</w:t>
      </w:r>
      <w:r w:rsidRPr="00C926EC">
        <w:t xml:space="preserve"> compare the final matched control groups to the SmartRate sample based on LCA, CARE status and average monthly usage in June and July 201</w:t>
      </w:r>
      <w:r w:rsidR="00A13AE8">
        <w:t>2</w:t>
      </w:r>
      <w:r w:rsidRPr="00C926EC">
        <w:t xml:space="preserve">.  </w:t>
      </w:r>
      <w:r w:rsidR="00A13AE8">
        <w:t xml:space="preserve">These tables are meant to demonstrate the degree to which the treatment group and control group are comparable across several variables that we would expect to be correlated with event day usage.  </w:t>
      </w:r>
      <w:r w:rsidRPr="00C926EC">
        <w:t>The last two columns of Table 3-1 show t</w:t>
      </w:r>
      <w:r w:rsidRPr="00C926EC">
        <w:noBreakHyphen/>
      </w:r>
      <w:proofErr w:type="spellStart"/>
      <w:r w:rsidRPr="00C926EC">
        <w:t>statistics</w:t>
      </w:r>
      <w:proofErr w:type="spellEnd"/>
      <w:r w:rsidRPr="00C926EC">
        <w:t xml:space="preserve"> and p-values for tests of the hypothesis that the mean value do not differ between the groups.  </w:t>
      </w:r>
      <w:r w:rsidR="00A13AE8">
        <w:t>In each case, t</w:t>
      </w:r>
      <w:r w:rsidRPr="00C926EC">
        <w:t>he two groups match closely across L</w:t>
      </w:r>
      <w:r w:rsidRPr="00612923">
        <w:t xml:space="preserve">CAs.  For average usage during summer months and CARE status, fairly small but statistically significant differences </w:t>
      </w:r>
      <w:r w:rsidR="00A13AE8">
        <w:t xml:space="preserve">usually </w:t>
      </w:r>
      <w:r w:rsidRPr="00612923">
        <w:t xml:space="preserve">exist between the groups.  </w:t>
      </w:r>
    </w:p>
    <w:p w:rsidR="00D508AD" w:rsidRDefault="00D508AD" w:rsidP="005164EE">
      <w:pPr>
        <w:pStyle w:val="TableFigureCaption"/>
      </w:pPr>
      <w:r w:rsidRPr="00117454">
        <w:t>Table A-</w:t>
      </w:r>
      <w:r w:rsidR="00A13AE8">
        <w:t>1</w:t>
      </w:r>
      <w:r w:rsidRPr="00117454">
        <w:t xml:space="preserve">: </w:t>
      </w:r>
      <w:r w:rsidR="001C0110" w:rsidRPr="00612923">
        <w:t>Distributions of LCA, Usage and CARE Status for SmartRate</w:t>
      </w:r>
      <w:r w:rsidR="001C0110">
        <w:t xml:space="preserve">-Only </w:t>
      </w:r>
      <w:r w:rsidR="001C0110" w:rsidRPr="00612923">
        <w:t>Customers, Control Customers and the Residential Population</w:t>
      </w:r>
      <w:r w:rsidR="001C0110">
        <w:t xml:space="preserve"> for First Three Events</w:t>
      </w:r>
    </w:p>
    <w:tbl>
      <w:tblPr>
        <w:tblW w:w="8120" w:type="dxa"/>
        <w:jc w:val="center"/>
        <w:tblLook w:val="04A0"/>
      </w:tblPr>
      <w:tblGrid>
        <w:gridCol w:w="2160"/>
        <w:gridCol w:w="1660"/>
        <w:gridCol w:w="1460"/>
        <w:gridCol w:w="1340"/>
        <w:gridCol w:w="1500"/>
      </w:tblGrid>
      <w:tr w:rsidR="000148EA" w:rsidRPr="000148EA" w:rsidTr="00A13AE8">
        <w:trPr>
          <w:trHeight w:val="510"/>
          <w:jc w:val="center"/>
        </w:trPr>
        <w:tc>
          <w:tcPr>
            <w:tcW w:w="2160" w:type="dxa"/>
            <w:tcBorders>
              <w:top w:val="single" w:sz="8" w:space="0" w:color="auto"/>
              <w:left w:val="single" w:sz="8" w:space="0" w:color="auto"/>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Characteristic</w:t>
            </w:r>
          </w:p>
        </w:tc>
        <w:tc>
          <w:tcPr>
            <w:tcW w:w="16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SmartRate Population</w:t>
            </w:r>
          </w:p>
        </w:tc>
        <w:tc>
          <w:tcPr>
            <w:tcW w:w="14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Matched Control Group</w:t>
            </w:r>
          </w:p>
        </w:tc>
        <w:tc>
          <w:tcPr>
            <w:tcW w:w="134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t</w:t>
            </w:r>
          </w:p>
        </w:tc>
        <w:tc>
          <w:tcPr>
            <w:tcW w:w="1500" w:type="dxa"/>
            <w:tcBorders>
              <w:top w:val="single" w:sz="8" w:space="0" w:color="auto"/>
              <w:left w:val="nil"/>
              <w:bottom w:val="nil"/>
              <w:right w:val="nil"/>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p</w:t>
            </w:r>
          </w:p>
        </w:tc>
      </w:tr>
      <w:tr w:rsidR="000148EA" w:rsidRPr="000148EA" w:rsidTr="00A13AE8">
        <w:trPr>
          <w:trHeight w:val="300"/>
          <w:jc w:val="center"/>
        </w:trPr>
        <w:tc>
          <w:tcPr>
            <w:tcW w:w="21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Bay Area</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37%</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37%</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Fresno</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Kern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21%</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21%</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Northern Coast</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-0.03</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0.98</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Other</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14%</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14%</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Sierra</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Stockton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June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672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686</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3.16</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July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750</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762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2.24</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0.03</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Non-CARE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60%</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67%</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-14.68</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40%</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33%</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-14.68</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bl>
    <w:p w:rsidR="000148EA" w:rsidRDefault="000148EA" w:rsidP="000148EA">
      <w:pPr>
        <w:pStyle w:val="TableFigureCaption"/>
      </w:pPr>
    </w:p>
    <w:p w:rsidR="000148EA" w:rsidRDefault="000148EA" w:rsidP="007E648F">
      <w:pPr>
        <w:pStyle w:val="TableFigureCaption"/>
      </w:pPr>
      <w:r w:rsidRPr="00117454">
        <w:t>Table A-</w:t>
      </w:r>
      <w:r w:rsidR="00A13AE8">
        <w:t>2</w:t>
      </w:r>
      <w:r w:rsidRPr="00117454">
        <w:t xml:space="preserve">: </w:t>
      </w:r>
      <w:r w:rsidR="001C0110" w:rsidRPr="00612923">
        <w:t>Distributions of LCA, Usage and CARE Status for SmartRate</w:t>
      </w:r>
      <w:r w:rsidR="001C0110">
        <w:t xml:space="preserve">-Only </w:t>
      </w:r>
      <w:r w:rsidR="001C0110" w:rsidRPr="00612923">
        <w:t>Customers, Control Customers and the Residential Population</w:t>
      </w:r>
      <w:r w:rsidR="001C0110">
        <w:t xml:space="preserve"> for Fourth Event</w:t>
      </w:r>
    </w:p>
    <w:tbl>
      <w:tblPr>
        <w:tblW w:w="8120" w:type="dxa"/>
        <w:jc w:val="center"/>
        <w:tblLook w:val="04A0"/>
      </w:tblPr>
      <w:tblGrid>
        <w:gridCol w:w="2160"/>
        <w:gridCol w:w="1660"/>
        <w:gridCol w:w="1460"/>
        <w:gridCol w:w="1340"/>
        <w:gridCol w:w="1500"/>
      </w:tblGrid>
      <w:tr w:rsidR="000148EA" w:rsidRPr="000148EA" w:rsidTr="00A13AE8">
        <w:trPr>
          <w:trHeight w:val="510"/>
          <w:jc w:val="center"/>
        </w:trPr>
        <w:tc>
          <w:tcPr>
            <w:tcW w:w="2160" w:type="dxa"/>
            <w:tcBorders>
              <w:top w:val="single" w:sz="8" w:space="0" w:color="auto"/>
              <w:left w:val="single" w:sz="8" w:space="0" w:color="auto"/>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Characteristic</w:t>
            </w:r>
          </w:p>
        </w:tc>
        <w:tc>
          <w:tcPr>
            <w:tcW w:w="16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SmartRate Population</w:t>
            </w:r>
          </w:p>
        </w:tc>
        <w:tc>
          <w:tcPr>
            <w:tcW w:w="14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Matched Control Group</w:t>
            </w:r>
          </w:p>
        </w:tc>
        <w:tc>
          <w:tcPr>
            <w:tcW w:w="134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t</w:t>
            </w:r>
          </w:p>
        </w:tc>
        <w:tc>
          <w:tcPr>
            <w:tcW w:w="1500" w:type="dxa"/>
            <w:tcBorders>
              <w:top w:val="single" w:sz="8" w:space="0" w:color="auto"/>
              <w:left w:val="nil"/>
              <w:bottom w:val="nil"/>
              <w:right w:val="nil"/>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p</w:t>
            </w:r>
          </w:p>
        </w:tc>
      </w:tr>
      <w:tr w:rsidR="000148EA" w:rsidRPr="000148EA" w:rsidTr="00A13AE8">
        <w:trPr>
          <w:trHeight w:val="300"/>
          <w:jc w:val="center"/>
        </w:trPr>
        <w:tc>
          <w:tcPr>
            <w:tcW w:w="21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Bay Area</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40%</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40%</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Fresno</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11%</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11%</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Kern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17%</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17%</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Northern Coast</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Other</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14%</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14%</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-0.01</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0.99</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Sierra</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Stockton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8%</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8%</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June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663</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671</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2.02</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0.04</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July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722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738</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3.61</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Non-CARE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63%</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68%</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-13.34</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37%</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-13.34</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bl>
    <w:p w:rsidR="000148EA" w:rsidRDefault="000148EA" w:rsidP="000148EA">
      <w:pPr>
        <w:pStyle w:val="TableFigureCaption"/>
      </w:pPr>
    </w:p>
    <w:p w:rsidR="000148EA" w:rsidRDefault="000148EA" w:rsidP="007E648F">
      <w:pPr>
        <w:pStyle w:val="TableFigureCaption"/>
      </w:pPr>
      <w:r w:rsidRPr="00117454">
        <w:t>Table A-</w:t>
      </w:r>
      <w:r w:rsidR="00A13AE8">
        <w:t>3</w:t>
      </w:r>
      <w:r w:rsidRPr="00117454">
        <w:t xml:space="preserve">: </w:t>
      </w:r>
      <w:r w:rsidR="001C0110" w:rsidRPr="00612923">
        <w:t>Distributions of LCA, Usage and CARE Status for SmartRate</w:t>
      </w:r>
      <w:r w:rsidR="001C0110">
        <w:t xml:space="preserve">-Only </w:t>
      </w:r>
      <w:r w:rsidR="001C0110" w:rsidRPr="00612923">
        <w:t>Customers, Control Customers and the Residential Population</w:t>
      </w:r>
      <w:r w:rsidR="001C0110">
        <w:t xml:space="preserve"> for Last Six Events</w:t>
      </w:r>
    </w:p>
    <w:tbl>
      <w:tblPr>
        <w:tblW w:w="8120" w:type="dxa"/>
        <w:jc w:val="center"/>
        <w:tblLook w:val="04A0"/>
      </w:tblPr>
      <w:tblGrid>
        <w:gridCol w:w="2160"/>
        <w:gridCol w:w="1660"/>
        <w:gridCol w:w="1460"/>
        <w:gridCol w:w="1340"/>
        <w:gridCol w:w="1500"/>
      </w:tblGrid>
      <w:tr w:rsidR="000148EA" w:rsidRPr="000148EA" w:rsidTr="00A13AE8">
        <w:trPr>
          <w:trHeight w:val="510"/>
          <w:jc w:val="center"/>
        </w:trPr>
        <w:tc>
          <w:tcPr>
            <w:tcW w:w="2160" w:type="dxa"/>
            <w:tcBorders>
              <w:top w:val="single" w:sz="8" w:space="0" w:color="auto"/>
              <w:left w:val="single" w:sz="8" w:space="0" w:color="auto"/>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Characteristic</w:t>
            </w:r>
          </w:p>
        </w:tc>
        <w:tc>
          <w:tcPr>
            <w:tcW w:w="16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SmartRate Population</w:t>
            </w:r>
          </w:p>
        </w:tc>
        <w:tc>
          <w:tcPr>
            <w:tcW w:w="14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Matched Control Group</w:t>
            </w:r>
          </w:p>
        </w:tc>
        <w:tc>
          <w:tcPr>
            <w:tcW w:w="134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t</w:t>
            </w:r>
          </w:p>
        </w:tc>
        <w:tc>
          <w:tcPr>
            <w:tcW w:w="1500" w:type="dxa"/>
            <w:tcBorders>
              <w:top w:val="single" w:sz="8" w:space="0" w:color="auto"/>
              <w:left w:val="nil"/>
              <w:bottom w:val="nil"/>
              <w:right w:val="nil"/>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p</w:t>
            </w:r>
          </w:p>
        </w:tc>
      </w:tr>
      <w:tr w:rsidR="000148EA" w:rsidRPr="000148EA" w:rsidTr="00A13AE8">
        <w:trPr>
          <w:trHeight w:val="300"/>
          <w:jc w:val="center"/>
        </w:trPr>
        <w:tc>
          <w:tcPr>
            <w:tcW w:w="21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Bay Area</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42%</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42%</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Fresno</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Kern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13%</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13%</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Northern Coast</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-0.02</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0.99</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Other</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15%</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15%</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Sierra</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Stockton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8%</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8%</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June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657</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654</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0.32</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July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710</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715</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1.29</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0.20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Non-CARE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65%</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69%</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-12.69</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35%</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31%</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-12.69</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bl>
    <w:p w:rsidR="000148EA" w:rsidRDefault="000148EA" w:rsidP="000148EA">
      <w:pPr>
        <w:pStyle w:val="TableFigureCaption"/>
      </w:pPr>
    </w:p>
    <w:p w:rsidR="000148EA" w:rsidRDefault="000148EA" w:rsidP="007E648F">
      <w:pPr>
        <w:pStyle w:val="TableFigureCaption"/>
      </w:pPr>
      <w:r w:rsidRPr="00117454">
        <w:t>Table A-</w:t>
      </w:r>
      <w:r w:rsidR="00A13AE8">
        <w:t>4</w:t>
      </w:r>
      <w:r w:rsidRPr="00117454">
        <w:t xml:space="preserve">: </w:t>
      </w:r>
      <w:r w:rsidR="001C0110" w:rsidRPr="00612923">
        <w:t xml:space="preserve">Distributions of LCA, Usage and CARE Status </w:t>
      </w:r>
      <w:r w:rsidR="001C0110">
        <w:t xml:space="preserve">for Dually-Enrolled </w:t>
      </w:r>
      <w:r w:rsidR="001C0110" w:rsidRPr="00612923">
        <w:t>Customers, Control Customers and the Residential Population</w:t>
      </w:r>
      <w:r w:rsidR="001C0110">
        <w:t xml:space="preserve"> for First Three Events</w:t>
      </w:r>
    </w:p>
    <w:tbl>
      <w:tblPr>
        <w:tblW w:w="8120" w:type="dxa"/>
        <w:jc w:val="center"/>
        <w:tblLook w:val="04A0"/>
      </w:tblPr>
      <w:tblGrid>
        <w:gridCol w:w="2160"/>
        <w:gridCol w:w="1660"/>
        <w:gridCol w:w="1460"/>
        <w:gridCol w:w="1340"/>
        <w:gridCol w:w="1500"/>
      </w:tblGrid>
      <w:tr w:rsidR="000148EA" w:rsidRPr="000148EA" w:rsidTr="00A13AE8">
        <w:trPr>
          <w:trHeight w:val="510"/>
          <w:jc w:val="center"/>
        </w:trPr>
        <w:tc>
          <w:tcPr>
            <w:tcW w:w="2160" w:type="dxa"/>
            <w:tcBorders>
              <w:top w:val="single" w:sz="8" w:space="0" w:color="auto"/>
              <w:left w:val="single" w:sz="8" w:space="0" w:color="auto"/>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Characteristic</w:t>
            </w:r>
          </w:p>
        </w:tc>
        <w:tc>
          <w:tcPr>
            <w:tcW w:w="16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SmartRate Population</w:t>
            </w:r>
          </w:p>
        </w:tc>
        <w:tc>
          <w:tcPr>
            <w:tcW w:w="14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Matched Control Group</w:t>
            </w:r>
          </w:p>
        </w:tc>
        <w:tc>
          <w:tcPr>
            <w:tcW w:w="134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t</w:t>
            </w:r>
          </w:p>
        </w:tc>
        <w:tc>
          <w:tcPr>
            <w:tcW w:w="1500" w:type="dxa"/>
            <w:tcBorders>
              <w:top w:val="single" w:sz="8" w:space="0" w:color="auto"/>
              <w:left w:val="nil"/>
              <w:bottom w:val="nil"/>
              <w:right w:val="nil"/>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p</w:t>
            </w:r>
          </w:p>
        </w:tc>
      </w:tr>
      <w:tr w:rsidR="000148EA" w:rsidRPr="000148EA" w:rsidTr="00A13AE8">
        <w:trPr>
          <w:trHeight w:val="300"/>
          <w:jc w:val="center"/>
        </w:trPr>
        <w:tc>
          <w:tcPr>
            <w:tcW w:w="21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Bay Area</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37%</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37%</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Fresno</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11%</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11%</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Kern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8%</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8%</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Northern Coast</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Other</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15%</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15%</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Sierra</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Stockton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June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666</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704</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7.56</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July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739</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773</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5.87</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Non-CARE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88%</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71%</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35.36</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29%</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35.36</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bl>
    <w:p w:rsidR="000148EA" w:rsidRDefault="000148EA" w:rsidP="000148EA">
      <w:pPr>
        <w:pStyle w:val="TableFigureCaption"/>
      </w:pPr>
    </w:p>
    <w:p w:rsidR="000148EA" w:rsidRDefault="000148EA" w:rsidP="007E648F">
      <w:pPr>
        <w:pStyle w:val="TableFigureCaption"/>
      </w:pPr>
      <w:r w:rsidRPr="00117454">
        <w:t>Table A-</w:t>
      </w:r>
      <w:r w:rsidR="00A13AE8">
        <w:t>5</w:t>
      </w:r>
      <w:r w:rsidRPr="00117454">
        <w:t xml:space="preserve">: </w:t>
      </w:r>
      <w:r w:rsidR="001C0110" w:rsidRPr="00612923">
        <w:t xml:space="preserve">Distributions of LCA, Usage and CARE Status </w:t>
      </w:r>
      <w:r w:rsidR="001C0110">
        <w:t xml:space="preserve">for Dually-Enrolled </w:t>
      </w:r>
      <w:r w:rsidR="001C0110" w:rsidRPr="00612923">
        <w:t>Customers, Control Customers and the Residential Population</w:t>
      </w:r>
      <w:r w:rsidR="001C0110">
        <w:t xml:space="preserve"> for Fourth Event</w:t>
      </w:r>
    </w:p>
    <w:tbl>
      <w:tblPr>
        <w:tblW w:w="8120" w:type="dxa"/>
        <w:jc w:val="center"/>
        <w:tblLook w:val="04A0"/>
      </w:tblPr>
      <w:tblGrid>
        <w:gridCol w:w="2160"/>
        <w:gridCol w:w="1660"/>
        <w:gridCol w:w="1460"/>
        <w:gridCol w:w="1340"/>
        <w:gridCol w:w="1500"/>
      </w:tblGrid>
      <w:tr w:rsidR="000148EA" w:rsidRPr="000148EA" w:rsidTr="00A13AE8">
        <w:trPr>
          <w:trHeight w:val="510"/>
          <w:jc w:val="center"/>
        </w:trPr>
        <w:tc>
          <w:tcPr>
            <w:tcW w:w="2160" w:type="dxa"/>
            <w:tcBorders>
              <w:top w:val="single" w:sz="8" w:space="0" w:color="auto"/>
              <w:left w:val="single" w:sz="8" w:space="0" w:color="auto"/>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Characteristic</w:t>
            </w:r>
          </w:p>
        </w:tc>
        <w:tc>
          <w:tcPr>
            <w:tcW w:w="16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SmartRate Population</w:t>
            </w:r>
          </w:p>
        </w:tc>
        <w:tc>
          <w:tcPr>
            <w:tcW w:w="14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Matched Control Group</w:t>
            </w:r>
          </w:p>
        </w:tc>
        <w:tc>
          <w:tcPr>
            <w:tcW w:w="134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t</w:t>
            </w:r>
          </w:p>
        </w:tc>
        <w:tc>
          <w:tcPr>
            <w:tcW w:w="1500" w:type="dxa"/>
            <w:tcBorders>
              <w:top w:val="single" w:sz="8" w:space="0" w:color="auto"/>
              <w:left w:val="nil"/>
              <w:bottom w:val="nil"/>
              <w:right w:val="nil"/>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p</w:t>
            </w:r>
          </w:p>
        </w:tc>
      </w:tr>
      <w:tr w:rsidR="000148EA" w:rsidRPr="000148EA" w:rsidTr="00A13AE8">
        <w:trPr>
          <w:trHeight w:val="300"/>
          <w:jc w:val="center"/>
        </w:trPr>
        <w:tc>
          <w:tcPr>
            <w:tcW w:w="21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Bay Area</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39%</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39%</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Fresno</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Kern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Northern Coast</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Other</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15%</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15%</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Sierra</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Stockton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June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673</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702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6.61</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July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735</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769</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7.06</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Non-CARE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91%</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47.22</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9%</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28%</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47.22</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bl>
    <w:p w:rsidR="000148EA" w:rsidRPr="000148EA" w:rsidRDefault="000148EA" w:rsidP="000148EA">
      <w:pPr>
        <w:pStyle w:val="BodyParaAfterTableFigure"/>
      </w:pPr>
    </w:p>
    <w:p w:rsidR="000148EA" w:rsidRDefault="000148EA" w:rsidP="007E648F">
      <w:pPr>
        <w:pStyle w:val="TableFigureCaption"/>
      </w:pPr>
      <w:r w:rsidRPr="00117454">
        <w:lastRenderedPageBreak/>
        <w:t>Table A-</w:t>
      </w:r>
      <w:r w:rsidR="00A13AE8">
        <w:t>6</w:t>
      </w:r>
      <w:r w:rsidRPr="00117454">
        <w:t xml:space="preserve">: </w:t>
      </w:r>
      <w:r w:rsidR="001C0110" w:rsidRPr="00612923">
        <w:t xml:space="preserve">Distributions of LCA, Usage and CARE Status </w:t>
      </w:r>
      <w:r w:rsidR="001C0110">
        <w:t xml:space="preserve">for Dually-Enrolled </w:t>
      </w:r>
      <w:r w:rsidR="001C0110" w:rsidRPr="00612923">
        <w:t>Customers, Control Customers and the Residential Population</w:t>
      </w:r>
      <w:r w:rsidR="001C0110">
        <w:t xml:space="preserve"> for Last Six Events</w:t>
      </w:r>
    </w:p>
    <w:tbl>
      <w:tblPr>
        <w:tblW w:w="8120" w:type="dxa"/>
        <w:jc w:val="center"/>
        <w:tblLook w:val="04A0"/>
      </w:tblPr>
      <w:tblGrid>
        <w:gridCol w:w="2160"/>
        <w:gridCol w:w="1660"/>
        <w:gridCol w:w="1460"/>
        <w:gridCol w:w="1340"/>
        <w:gridCol w:w="1500"/>
      </w:tblGrid>
      <w:tr w:rsidR="000148EA" w:rsidRPr="000148EA" w:rsidTr="00A13AE8">
        <w:trPr>
          <w:trHeight w:val="510"/>
          <w:jc w:val="center"/>
        </w:trPr>
        <w:tc>
          <w:tcPr>
            <w:tcW w:w="2160" w:type="dxa"/>
            <w:tcBorders>
              <w:top w:val="single" w:sz="8" w:space="0" w:color="auto"/>
              <w:left w:val="single" w:sz="8" w:space="0" w:color="auto"/>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Characteristic</w:t>
            </w:r>
          </w:p>
        </w:tc>
        <w:tc>
          <w:tcPr>
            <w:tcW w:w="16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SmartRate Population</w:t>
            </w:r>
          </w:p>
        </w:tc>
        <w:tc>
          <w:tcPr>
            <w:tcW w:w="146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Matched Control Group</w:t>
            </w:r>
          </w:p>
        </w:tc>
        <w:tc>
          <w:tcPr>
            <w:tcW w:w="1340" w:type="dxa"/>
            <w:tcBorders>
              <w:top w:val="single" w:sz="8" w:space="0" w:color="auto"/>
              <w:left w:val="nil"/>
              <w:bottom w:val="nil"/>
              <w:right w:val="single" w:sz="8" w:space="0" w:color="FFFFFF"/>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t</w:t>
            </w:r>
          </w:p>
        </w:tc>
        <w:tc>
          <w:tcPr>
            <w:tcW w:w="1500" w:type="dxa"/>
            <w:tcBorders>
              <w:top w:val="single" w:sz="8" w:space="0" w:color="auto"/>
              <w:left w:val="nil"/>
              <w:bottom w:val="nil"/>
              <w:right w:val="nil"/>
            </w:tcBorders>
            <w:shd w:val="clear" w:color="000000" w:fill="1F497D"/>
            <w:vAlign w:val="center"/>
            <w:hideMark/>
          </w:tcPr>
          <w:p w:rsidR="000148EA" w:rsidRPr="000148EA" w:rsidRDefault="000148EA" w:rsidP="00254844">
            <w:pPr>
              <w:keepNext/>
              <w:spacing w:after="0" w:line="240" w:lineRule="auto"/>
              <w:jc w:val="center"/>
              <w:rPr>
                <w:rFonts w:ascii="Arial" w:eastAsia="Times New Roman" w:hAnsi="Arial" w:cs="Arial"/>
                <w:b/>
                <w:bCs/>
                <w:color w:val="FFFFFF"/>
                <w:sz w:val="20"/>
                <w:szCs w:val="20"/>
              </w:rPr>
            </w:pPr>
            <w:r w:rsidRPr="000148EA">
              <w:rPr>
                <w:rFonts w:ascii="Arial" w:eastAsia="Times New Roman" w:hAnsi="Arial" w:cs="Arial"/>
                <w:b/>
                <w:bCs/>
                <w:color w:val="FFFFFF"/>
                <w:sz w:val="20"/>
                <w:szCs w:val="20"/>
              </w:rPr>
              <w:t>p</w:t>
            </w:r>
          </w:p>
        </w:tc>
      </w:tr>
      <w:tr w:rsidR="000148EA" w:rsidRPr="000148EA" w:rsidTr="00A13AE8">
        <w:trPr>
          <w:trHeight w:val="300"/>
          <w:jc w:val="center"/>
        </w:trPr>
        <w:tc>
          <w:tcPr>
            <w:tcW w:w="21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Bay Area</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40%</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40%</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Greater Fresno</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Kern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5%</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5%</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Northern Coast</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Other</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15%</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15%</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Sierra</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Stockton</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9%</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9%</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1.00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June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672</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702</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7.36</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July 2012 kWh</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736</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767</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7.20</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Non-CARE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93%</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73%</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61.25</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254844">
            <w:pPr>
              <w:keepNext/>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r w:rsidR="000148EA" w:rsidRPr="000148EA" w:rsidTr="00A13AE8">
        <w:trPr>
          <w:trHeight w:val="300"/>
          <w:jc w:val="center"/>
        </w:trPr>
        <w:tc>
          <w:tcPr>
            <w:tcW w:w="2160" w:type="dxa"/>
            <w:tcBorders>
              <w:top w:val="nil"/>
              <w:left w:val="single" w:sz="4" w:space="0" w:color="auto"/>
              <w:bottom w:val="single" w:sz="4" w:space="0" w:color="auto"/>
              <w:right w:val="single" w:sz="4" w:space="0" w:color="auto"/>
            </w:tcBorders>
            <w:shd w:val="clear" w:color="000000" w:fill="FFFFFF"/>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CARE</w:t>
            </w:r>
          </w:p>
        </w:tc>
        <w:tc>
          <w:tcPr>
            <w:tcW w:w="16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7%</w:t>
            </w:r>
          </w:p>
        </w:tc>
        <w:tc>
          <w:tcPr>
            <w:tcW w:w="146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27%</w:t>
            </w:r>
          </w:p>
        </w:tc>
        <w:tc>
          <w:tcPr>
            <w:tcW w:w="134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61.25</w:t>
            </w:r>
          </w:p>
        </w:tc>
        <w:tc>
          <w:tcPr>
            <w:tcW w:w="1500" w:type="dxa"/>
            <w:tcBorders>
              <w:top w:val="nil"/>
              <w:left w:val="nil"/>
              <w:bottom w:val="single" w:sz="4" w:space="0" w:color="auto"/>
              <w:right w:val="single" w:sz="4" w:space="0" w:color="auto"/>
            </w:tcBorders>
            <w:shd w:val="clear" w:color="auto" w:fill="auto"/>
            <w:noWrap/>
            <w:vAlign w:val="center"/>
            <w:hideMark/>
          </w:tcPr>
          <w:p w:rsidR="000148EA" w:rsidRPr="000148EA" w:rsidRDefault="000148EA" w:rsidP="000148EA">
            <w:pPr>
              <w:spacing w:after="0" w:line="240" w:lineRule="auto"/>
              <w:jc w:val="center"/>
              <w:rPr>
                <w:rFonts w:ascii="Arial" w:eastAsia="Times New Roman" w:hAnsi="Arial" w:cs="Arial"/>
                <w:color w:val="000000"/>
                <w:sz w:val="18"/>
                <w:szCs w:val="18"/>
              </w:rPr>
            </w:pPr>
            <w:r w:rsidRPr="000148EA">
              <w:rPr>
                <w:rFonts w:ascii="Arial" w:eastAsia="Times New Roman" w:hAnsi="Arial" w:cs="Arial"/>
                <w:color w:val="000000"/>
                <w:sz w:val="18"/>
                <w:szCs w:val="18"/>
              </w:rPr>
              <w:t>0.00</w:t>
            </w:r>
          </w:p>
        </w:tc>
      </w:tr>
    </w:tbl>
    <w:p w:rsidR="00D508AD" w:rsidRPr="00A13AE8" w:rsidRDefault="00D508AD" w:rsidP="00D508AD">
      <w:pPr>
        <w:pStyle w:val="BodyParaAfterTableFigure"/>
      </w:pPr>
      <w:proofErr w:type="gramStart"/>
      <w:r w:rsidRPr="00A13AE8">
        <w:t>Figures A-</w:t>
      </w:r>
      <w:r w:rsidR="00A13AE8">
        <w:t>1</w:t>
      </w:r>
      <w:r w:rsidRPr="00A13AE8">
        <w:t xml:space="preserve"> </w:t>
      </w:r>
      <w:r w:rsidR="00A13AE8">
        <w:t>and</w:t>
      </w:r>
      <w:r w:rsidRPr="00A13AE8">
        <w:t xml:space="preserve"> A-</w:t>
      </w:r>
      <w:r w:rsidR="00A13AE8">
        <w:t>2</w:t>
      </w:r>
      <w:r w:rsidRPr="00A13AE8">
        <w:t xml:space="preserve"> show histograms of average </w:t>
      </w:r>
      <w:r w:rsidR="00A13AE8">
        <w:t>hourly</w:t>
      </w:r>
      <w:r w:rsidRPr="00A13AE8">
        <w:t xml:space="preserve"> usage </w:t>
      </w:r>
      <w:r w:rsidR="00A13AE8">
        <w:t xml:space="preserve">during the 2-7 PM on hot non-event days </w:t>
      </w:r>
      <w:r w:rsidRPr="00A13AE8">
        <w:t xml:space="preserve">for the SmartRate </w:t>
      </w:r>
      <w:r w:rsidR="00A13AE8">
        <w:t xml:space="preserve">groups </w:t>
      </w:r>
      <w:r w:rsidRPr="00A13AE8">
        <w:t>and control group</w:t>
      </w:r>
      <w:r w:rsidR="00A13AE8">
        <w:t>s</w:t>
      </w:r>
      <w:r w:rsidRPr="00A13AE8">
        <w:t>.</w:t>
      </w:r>
      <w:proofErr w:type="gramEnd"/>
      <w:r w:rsidRPr="00A13AE8">
        <w:t xml:space="preserve">  The blue columns show the histogram of SmartRate usage and the transparent columns show control group usage.  </w:t>
      </w:r>
      <w:r w:rsidR="00A13AE8">
        <w:t>In all cases, the distributions are fairly similar.  A red flag that a graph like this could show would be a region where there was a high density of SmartRate customers but a very low density of control group customers.  Even in the cases where the distributions are noticeably different, there are no such regions, which is a good sign.</w:t>
      </w:r>
    </w:p>
    <w:p w:rsidR="00D508AD" w:rsidRPr="00833E7B" w:rsidRDefault="00D508AD" w:rsidP="00D508AD">
      <w:pPr>
        <w:pStyle w:val="BodyParagraph"/>
        <w:rPr>
          <w:noProof/>
          <w:highlight w:val="yellow"/>
        </w:rPr>
      </w:pPr>
    </w:p>
    <w:p w:rsidR="00D508AD" w:rsidRPr="0086631C" w:rsidRDefault="00D508AD" w:rsidP="00D508AD">
      <w:pPr>
        <w:pStyle w:val="TableFigureCaption"/>
        <w:spacing w:after="0"/>
      </w:pPr>
      <w:r w:rsidRPr="0086631C">
        <w:lastRenderedPageBreak/>
        <w:t>Figure A-</w:t>
      </w:r>
      <w:r w:rsidR="00A13AE8">
        <w:t>1</w:t>
      </w:r>
      <w:r w:rsidRPr="0086631C">
        <w:t>: Histogram</w:t>
      </w:r>
      <w:r w:rsidR="0086631C" w:rsidRPr="0086631C">
        <w:t>s</w:t>
      </w:r>
      <w:r w:rsidRPr="0086631C">
        <w:t xml:space="preserve"> of Average </w:t>
      </w:r>
      <w:r w:rsidR="0086631C" w:rsidRPr="0086631C">
        <w:t>Hourly</w:t>
      </w:r>
      <w:r w:rsidRPr="0086631C">
        <w:t xml:space="preserve"> Usage for SmartRate</w:t>
      </w:r>
      <w:r w:rsidR="0086631C" w:rsidRPr="0086631C">
        <w:t>-Only Customers</w:t>
      </w:r>
      <w:r w:rsidRPr="0086631C">
        <w:t xml:space="preserve"> and Control Group</w:t>
      </w:r>
    </w:p>
    <w:p w:rsidR="0042739D" w:rsidRDefault="0086631C" w:rsidP="0086631C">
      <w:pPr>
        <w:pStyle w:val="BodyParaAfterTableFigure"/>
        <w:jc w:val="center"/>
        <w:rPr>
          <w:highlight w:val="yellow"/>
        </w:rPr>
      </w:pPr>
      <w:r>
        <w:rPr>
          <w:noProof/>
        </w:rPr>
        <w:drawing>
          <wp:inline distT="0" distB="0" distL="0" distR="0">
            <wp:extent cx="3742690" cy="64858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2690" cy="6485890"/>
                    </a:xfrm>
                    <a:prstGeom prst="rect">
                      <a:avLst/>
                    </a:prstGeom>
                    <a:noFill/>
                    <a:ln>
                      <a:noFill/>
                    </a:ln>
                  </pic:spPr>
                </pic:pic>
              </a:graphicData>
            </a:graphic>
          </wp:inline>
        </w:drawing>
      </w:r>
    </w:p>
    <w:p w:rsidR="0086631C" w:rsidRPr="0086631C" w:rsidRDefault="0086631C" w:rsidP="0086631C">
      <w:pPr>
        <w:pStyle w:val="TableFigureCaption"/>
        <w:spacing w:after="0"/>
      </w:pPr>
      <w:r w:rsidRPr="0086631C">
        <w:lastRenderedPageBreak/>
        <w:t>Figure A-2: Histograms of Average Hourly Usage for Dually-Enrolled Customers and Control Group</w:t>
      </w:r>
    </w:p>
    <w:p w:rsidR="00D508AD" w:rsidRPr="00833E7B" w:rsidRDefault="0086631C" w:rsidP="007E648F">
      <w:pPr>
        <w:pStyle w:val="BodyParagraph"/>
        <w:jc w:val="center"/>
        <w:rPr>
          <w:highlight w:val="yellow"/>
        </w:rPr>
      </w:pPr>
      <w:r>
        <w:rPr>
          <w:noProof/>
        </w:rPr>
        <w:drawing>
          <wp:inline distT="0" distB="0" distL="0" distR="0">
            <wp:extent cx="3742690" cy="64858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2690" cy="6485890"/>
                    </a:xfrm>
                    <a:prstGeom prst="rect">
                      <a:avLst/>
                    </a:prstGeom>
                    <a:noFill/>
                    <a:ln>
                      <a:noFill/>
                    </a:ln>
                  </pic:spPr>
                </pic:pic>
              </a:graphicData>
            </a:graphic>
          </wp:inline>
        </w:drawing>
      </w:r>
    </w:p>
    <w:p w:rsidR="00492492" w:rsidRDefault="00D508AD" w:rsidP="00492492">
      <w:pPr>
        <w:pStyle w:val="BodyParaAfterTableFigure"/>
        <w:rPr>
          <w:highlight w:val="yellow"/>
        </w:rPr>
      </w:pPr>
      <w:r w:rsidRPr="00596CA9">
        <w:t>Figure A-</w:t>
      </w:r>
      <w:r w:rsidR="00596CA9" w:rsidRPr="00596CA9">
        <w:t>3</w:t>
      </w:r>
      <w:r w:rsidRPr="00596CA9">
        <w:t xml:space="preserve"> </w:t>
      </w:r>
      <w:r w:rsidR="00596CA9" w:rsidRPr="00596CA9">
        <w:t>shows that</w:t>
      </w:r>
      <w:r w:rsidRPr="00596CA9">
        <w:t xml:space="preserve"> treatment and control groups are quite similar on the hot, non-event days used in the matching process.  </w:t>
      </w:r>
      <w:r w:rsidR="00596CA9" w:rsidRPr="00596CA9">
        <w:t>It</w:t>
      </w:r>
      <w:r w:rsidRPr="00596CA9">
        <w:t xml:space="preserve"> shows a scatter plot of average load during the hours 2 to 7 PM</w:t>
      </w:r>
      <w:r w:rsidRPr="00492492">
        <w:t xml:space="preserve"> as a function of average </w:t>
      </w:r>
      <w:r w:rsidR="00492492" w:rsidRPr="00492492">
        <w:t xml:space="preserve">temperatures </w:t>
      </w:r>
      <w:r w:rsidRPr="00492492">
        <w:t xml:space="preserve">on hot, non-event days.  Each point represents the average load on one of the days for either the SmartRate group or control group.  </w:t>
      </w:r>
      <w:r w:rsidRPr="00492492">
        <w:rPr>
          <w:noProof/>
        </w:rPr>
        <w:t xml:space="preserve">Note that the scale of the x-axis only runs from </w:t>
      </w:r>
      <w:r w:rsidR="00492492" w:rsidRPr="00492492">
        <w:rPr>
          <w:noProof/>
        </w:rPr>
        <w:t>74</w:t>
      </w:r>
      <w:r w:rsidRPr="00492492">
        <w:rPr>
          <w:rFonts w:cs="Arial"/>
          <w:noProof/>
        </w:rPr>
        <w:t>°</w:t>
      </w:r>
      <w:r w:rsidRPr="00492492">
        <w:rPr>
          <w:noProof/>
        </w:rPr>
        <w:t xml:space="preserve">F to </w:t>
      </w:r>
      <w:r w:rsidR="00492492" w:rsidRPr="00492492">
        <w:rPr>
          <w:noProof/>
        </w:rPr>
        <w:t>8</w:t>
      </w:r>
      <w:r w:rsidR="00BE47B3">
        <w:rPr>
          <w:noProof/>
        </w:rPr>
        <w:t>5</w:t>
      </w:r>
      <w:r w:rsidRPr="00492492">
        <w:rPr>
          <w:rFonts w:cs="Arial"/>
          <w:noProof/>
        </w:rPr>
        <w:t>°</w:t>
      </w:r>
      <w:r w:rsidRPr="00492492">
        <w:rPr>
          <w:noProof/>
        </w:rPr>
        <w:t xml:space="preserve">F.  </w:t>
      </w:r>
    </w:p>
    <w:p w:rsidR="008851C7" w:rsidRDefault="00D508AD" w:rsidP="00596CA9">
      <w:pPr>
        <w:pStyle w:val="TableFigureCaption"/>
        <w:spacing w:after="0"/>
      </w:pPr>
      <w:r w:rsidRPr="00596CA9">
        <w:lastRenderedPageBreak/>
        <w:t>Figure A-</w:t>
      </w:r>
      <w:r w:rsidR="00596CA9" w:rsidRPr="00596CA9">
        <w:t>3</w:t>
      </w:r>
      <w:r w:rsidRPr="00596CA9">
        <w:t>: Average</w:t>
      </w:r>
      <w:r w:rsidRPr="00492492">
        <w:t xml:space="preserve"> Loads and Temperatures from 2-7 PM on Hot, Non-event Days</w:t>
      </w:r>
    </w:p>
    <w:p w:rsidR="00492492" w:rsidRDefault="008851C7" w:rsidP="00B44D84">
      <w:pPr>
        <w:pStyle w:val="BodyParaAfterTableFigure"/>
        <w:jc w:val="center"/>
        <w:rPr>
          <w:highlight w:val="yellow"/>
        </w:rPr>
      </w:pPr>
      <w:r>
        <w:rPr>
          <w:noProof/>
        </w:rPr>
        <w:drawing>
          <wp:inline distT="0" distB="0" distL="0" distR="0">
            <wp:extent cx="3742690" cy="64858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2690" cy="6485890"/>
                    </a:xfrm>
                    <a:prstGeom prst="rect">
                      <a:avLst/>
                    </a:prstGeom>
                    <a:noFill/>
                    <a:ln>
                      <a:noFill/>
                    </a:ln>
                  </pic:spPr>
                </pic:pic>
              </a:graphicData>
            </a:graphic>
          </wp:inline>
        </w:drawing>
      </w:r>
    </w:p>
    <w:p w:rsidR="00F770C9" w:rsidRPr="00F770C9" w:rsidRDefault="00F770C9" w:rsidP="00F770C9">
      <w:pPr>
        <w:pStyle w:val="BodyParagraph"/>
        <w:jc w:val="center"/>
        <w:rPr>
          <w:highlight w:val="yellow"/>
        </w:rPr>
      </w:pPr>
      <w:r>
        <w:rPr>
          <w:noProof/>
        </w:rPr>
        <w:lastRenderedPageBreak/>
        <w:drawing>
          <wp:inline distT="0" distB="0" distL="0" distR="0">
            <wp:extent cx="3742690" cy="64858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2690" cy="6485890"/>
                    </a:xfrm>
                    <a:prstGeom prst="rect">
                      <a:avLst/>
                    </a:prstGeom>
                    <a:noFill/>
                    <a:ln>
                      <a:noFill/>
                    </a:ln>
                  </pic:spPr>
                </pic:pic>
              </a:graphicData>
            </a:graphic>
          </wp:inline>
        </w:drawing>
      </w:r>
    </w:p>
    <w:p w:rsidR="00D508AD" w:rsidRPr="00833E7B" w:rsidRDefault="00D508AD" w:rsidP="00D508AD">
      <w:pPr>
        <w:pStyle w:val="BodyParagraph"/>
        <w:jc w:val="center"/>
        <w:rPr>
          <w:highlight w:val="yellow"/>
        </w:rPr>
      </w:pPr>
    </w:p>
    <w:p w:rsidR="00D508AD" w:rsidRPr="00596CA9" w:rsidRDefault="00D508AD" w:rsidP="00D508AD">
      <w:pPr>
        <w:pStyle w:val="BodyParagraph"/>
        <w:sectPr w:rsidR="00D508AD" w:rsidRPr="00596CA9" w:rsidSect="00D508AD">
          <w:headerReference w:type="default" r:id="rId53"/>
          <w:pgSz w:w="12240" w:h="15840"/>
          <w:pgMar w:top="1440" w:right="1440" w:bottom="1440" w:left="1440" w:header="720" w:footer="720" w:gutter="0"/>
          <w:cols w:space="720"/>
          <w:docGrid w:linePitch="360"/>
        </w:sectPr>
      </w:pPr>
      <w:r w:rsidRPr="00596CA9">
        <w:t>Figure A-</w:t>
      </w:r>
      <w:r w:rsidR="00596CA9" w:rsidRPr="00596CA9">
        <w:t>4</w:t>
      </w:r>
      <w:r w:rsidRPr="00596CA9">
        <w:t xml:space="preserve"> show</w:t>
      </w:r>
      <w:r w:rsidR="00596CA9" w:rsidRPr="00596CA9">
        <w:t>s</w:t>
      </w:r>
      <w:r w:rsidRPr="00596CA9">
        <w:t xml:space="preserve"> average hourly usage for each hour of the </w:t>
      </w:r>
      <w:r w:rsidR="00E93A01" w:rsidRPr="00596CA9">
        <w:t>ten</w:t>
      </w:r>
      <w:r w:rsidRPr="00596CA9">
        <w:t xml:space="preserve"> hot, non-event days used in the match.  </w:t>
      </w:r>
      <w:r w:rsidR="00596CA9">
        <w:t xml:space="preserve">When averaged over the 10 days, the match is close to perfect.  The match is less perfect on a day-by-day basis and FSC will provide that data by request.  </w:t>
      </w:r>
    </w:p>
    <w:p w:rsidR="00D508AD" w:rsidRPr="007E648F" w:rsidRDefault="00D508AD" w:rsidP="00D508AD">
      <w:pPr>
        <w:pStyle w:val="TableFigureCaption"/>
      </w:pPr>
      <w:r w:rsidRPr="007E648F">
        <w:lastRenderedPageBreak/>
        <w:t xml:space="preserve">Figure A-5: Average </w:t>
      </w:r>
      <w:r w:rsidR="00E93A01" w:rsidRPr="007E648F">
        <w:t xml:space="preserve">Hourly </w:t>
      </w:r>
      <w:r w:rsidRPr="007E648F">
        <w:t>Usage for SmartRate Population and Con</w:t>
      </w:r>
      <w:r w:rsidR="00E93A01" w:rsidRPr="007E648F">
        <w:t>trol Group</w:t>
      </w:r>
      <w:r w:rsidR="00E93A01" w:rsidRPr="007E648F">
        <w:br/>
        <w:t xml:space="preserve"> Hot, Non-event Days</w:t>
      </w:r>
    </w:p>
    <w:p w:rsidR="0093248C" w:rsidRPr="0093248C" w:rsidRDefault="0093248C" w:rsidP="0093248C">
      <w:pPr>
        <w:pStyle w:val="BodyParaAfterTableFigure"/>
        <w:rPr>
          <w:highlight w:val="yellow"/>
        </w:rPr>
      </w:pPr>
      <w:r>
        <w:rPr>
          <w:noProof/>
        </w:rPr>
        <w:drawing>
          <wp:inline distT="0" distB="0" distL="0" distR="0">
            <wp:extent cx="3986211" cy="4901610"/>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091" cy="4902692"/>
                    </a:xfrm>
                    <a:prstGeom prst="rect">
                      <a:avLst/>
                    </a:prstGeom>
                    <a:noFill/>
                  </pic:spPr>
                </pic:pic>
              </a:graphicData>
            </a:graphic>
          </wp:inline>
        </w:drawing>
      </w:r>
      <w:r>
        <w:rPr>
          <w:noProof/>
        </w:rPr>
        <w:drawing>
          <wp:inline distT="0" distB="0" distL="0" distR="0">
            <wp:extent cx="4009948" cy="4901610"/>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4267" cy="4906889"/>
                    </a:xfrm>
                    <a:prstGeom prst="rect">
                      <a:avLst/>
                    </a:prstGeom>
                    <a:noFill/>
                  </pic:spPr>
                </pic:pic>
              </a:graphicData>
            </a:graphic>
          </wp:inline>
        </w:drawing>
      </w:r>
    </w:p>
    <w:p w:rsidR="00D508AD" w:rsidRPr="00612923" w:rsidRDefault="00D508AD" w:rsidP="00D508AD">
      <w:pPr>
        <w:pStyle w:val="BodyParagraph"/>
        <w:sectPr w:rsidR="00D508AD" w:rsidRPr="00612923" w:rsidSect="00D508AD">
          <w:headerReference w:type="default" r:id="rId56"/>
          <w:pgSz w:w="15840" w:h="12240" w:orient="landscape"/>
          <w:pgMar w:top="1440" w:right="1440" w:bottom="1440" w:left="1440" w:header="720" w:footer="720" w:gutter="0"/>
          <w:cols w:space="720"/>
          <w:docGrid w:linePitch="360"/>
        </w:sectPr>
      </w:pPr>
    </w:p>
    <w:p w:rsidR="00D508AD" w:rsidRPr="00612923" w:rsidRDefault="00BF3ED7" w:rsidP="00877FD0">
      <w:pPr>
        <w:pStyle w:val="AppendixHeading"/>
      </w:pPr>
      <w:bookmarkStart w:id="128" w:name="_Toc349193919"/>
      <w:r>
        <w:lastRenderedPageBreak/>
        <w:t xml:space="preserve"> </w:t>
      </w:r>
      <w:bookmarkStart w:id="129" w:name="_Toc352567331"/>
      <w:r w:rsidR="00D508AD" w:rsidRPr="00612923">
        <w:t>Details of Determining High Responders</w:t>
      </w:r>
      <w:bookmarkEnd w:id="128"/>
      <w:bookmarkEnd w:id="129"/>
    </w:p>
    <w:p w:rsidR="00CF4B19" w:rsidRDefault="00CF4B19" w:rsidP="00D508AD">
      <w:pPr>
        <w:pStyle w:val="BodyParagraph"/>
      </w:pPr>
      <w:r>
        <w:t xml:space="preserve">All results in this section are outputs of our within-subjects analysis, not our matched control group analysis.  </w:t>
      </w:r>
      <w:r w:rsidR="00D508AD" w:rsidRPr="00612923">
        <w:t>To identify customers who are likely to provide true SmartRate impacts greater than the average impact of 0.23 kW, we note that only 5% of customers in the control group have a noise estimate greater than 0.63 kW.  Given that the mean SmartRate impact is 0.23 kW (per the individual customer regressions), any customer with a load impact estimate greater than 0.86 kW has a 95% or greater of having a true impact greater than 0.23 kW.</w:t>
      </w:r>
      <w:r w:rsidR="00D508AD" w:rsidRPr="00612923">
        <w:rPr>
          <w:rStyle w:val="FootnoteReference"/>
        </w:rPr>
        <w:footnoteReference w:id="35"/>
      </w:r>
      <w:r w:rsidR="00D508AD" w:rsidRPr="00612923">
        <w:t xml:space="preserve">  </w:t>
      </w:r>
      <w:r>
        <w:t>This is a fairly weak statement, since only a relatively small fraction of customers have impact estimates above 0.86 kW.  This is due to the inherently large amount of noise in the within-subjects calculation at the individual customer level</w:t>
      </w:r>
      <w:r w:rsidR="0035126D">
        <w:t>, as demonstrated by the histogram of false impact estimates in the control group.</w:t>
      </w:r>
    </w:p>
    <w:p w:rsidR="00D508AD" w:rsidRPr="00612923" w:rsidRDefault="00D508AD" w:rsidP="00D508AD">
      <w:pPr>
        <w:pStyle w:val="BodyParagraph"/>
      </w:pPr>
      <w:r w:rsidRPr="00612923">
        <w:t xml:space="preserve">This </w:t>
      </w:r>
      <w:r w:rsidR="0035126D">
        <w:t xml:space="preserve">calculation </w:t>
      </w:r>
      <w:r w:rsidRPr="00612923">
        <w:t xml:space="preserve">assumes the distribution of the noise is independent of the true impact distribution.  </w:t>
      </w:r>
      <w:r w:rsidR="0035126D">
        <w:t xml:space="preserve">Abandoning this assumption would weaken our ability to make inferences about high responders, not strengthen it.  </w:t>
      </w:r>
      <w:r w:rsidRPr="00612923">
        <w:t xml:space="preserve">Figure C-1 shows the distribution of estimated coefficients for both the SmartRate population and control group.  The three reference lines show the relevant values mentioned above.  The red line marks 0.23 kW, the blue line is at 0.63 kW and the black line is at 0.86 kW.  All customers in the SmartRate group (the light blue distribution) to the right of the black reference line are considered high responders.     </w:t>
      </w:r>
    </w:p>
    <w:p w:rsidR="00D508AD" w:rsidRPr="00612923" w:rsidRDefault="00D508AD" w:rsidP="00D508AD">
      <w:pPr>
        <w:pStyle w:val="TableFigureCaption"/>
      </w:pPr>
      <w:r w:rsidRPr="00612923">
        <w:t xml:space="preserve">Figure C-1: Distribution of Average Estimated Coefficients </w:t>
      </w:r>
      <w:r w:rsidRPr="00612923">
        <w:br/>
        <w:t>for SmartRate-Only and Control Group Customers</w:t>
      </w:r>
    </w:p>
    <w:p w:rsidR="00D508AD" w:rsidRPr="00612923" w:rsidRDefault="00D508AD" w:rsidP="00877FD0">
      <w:pPr>
        <w:pStyle w:val="BodyParagraph"/>
        <w:jc w:val="center"/>
      </w:pPr>
      <w:r w:rsidRPr="00612923">
        <w:rPr>
          <w:noProof/>
        </w:rPr>
        <w:drawing>
          <wp:inline distT="0" distB="0" distL="0" distR="0">
            <wp:extent cx="5067300" cy="3709314"/>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67300" cy="3709314"/>
                    </a:xfrm>
                    <a:prstGeom prst="rect">
                      <a:avLst/>
                    </a:prstGeom>
                    <a:noFill/>
                    <a:ln>
                      <a:noFill/>
                    </a:ln>
                  </pic:spPr>
                </pic:pic>
              </a:graphicData>
            </a:graphic>
          </wp:inline>
        </w:drawing>
      </w:r>
    </w:p>
    <w:p w:rsidR="00D508AD" w:rsidRPr="00612923" w:rsidRDefault="00D508AD" w:rsidP="00D508AD">
      <w:pPr>
        <w:pStyle w:val="BodyParaAfterTableFigure"/>
        <w:rPr>
          <w:i/>
          <w:iCs/>
        </w:rPr>
      </w:pPr>
      <w:r w:rsidRPr="00612923">
        <w:lastRenderedPageBreak/>
        <w:t>To calculate the value 0.</w:t>
      </w:r>
      <w:r w:rsidR="00E747BD">
        <w:t>86</w:t>
      </w:r>
      <w:r w:rsidRPr="00612923">
        <w:t xml:space="preserve"> kW as the relevant threshold, the following steps and equations are used.  The first equation shown below is a statement of what the analysis is solving for.  The analysis is solving for the impact threshold, </w:t>
      </w:r>
      <w:r w:rsidRPr="00612923">
        <w:rPr>
          <w:i/>
          <w:iCs/>
        </w:rPr>
        <w:t>t</w:t>
      </w:r>
      <w:r w:rsidRPr="00612923">
        <w:t>, for which there is a 95% probability that the true impact is above the average impact (0.2</w:t>
      </w:r>
      <w:r w:rsidR="0035126D">
        <w:t>3</w:t>
      </w:r>
      <w:r w:rsidRPr="00612923">
        <w:t xml:space="preserve"> kWh) given that the estimated impact equals threshold </w:t>
      </w:r>
      <w:r w:rsidRPr="00612923">
        <w:rPr>
          <w:i/>
          <w:iCs/>
        </w:rPr>
        <w:t>t</w:t>
      </w:r>
      <w:r w:rsidRPr="00612923">
        <w:t xml:space="preserve"> (Equation 1)</w:t>
      </w:r>
      <w:r w:rsidRPr="00612923">
        <w:rPr>
          <w:i/>
          <w:iCs/>
        </w:rPr>
        <w:t>.</w:t>
      </w:r>
      <w:r w:rsidRPr="00612923">
        <w:t>  It is a given that the estimated impact (</w:t>
      </w:r>
      <m:oMath>
        <m:acc>
          <m:accPr>
            <m:ctrlPr>
              <w:rPr>
                <w:rFonts w:ascii="Cambria Math" w:hAnsi="Cambria Math" w:cs="Arial"/>
                <w:i/>
                <w:iCs/>
                <w:sz w:val="22"/>
              </w:rPr>
            </m:ctrlPr>
          </m:accPr>
          <m:e>
            <m:r>
              <w:rPr>
                <w:rFonts w:ascii="Cambria Math" w:hAnsi="Cambria Math"/>
              </w:rPr>
              <m:t>i</m:t>
            </m:r>
          </m:e>
        </m:acc>
        <m:r>
          <w:rPr>
            <w:rFonts w:ascii="Cambria Math" w:hAnsi="Cambria Math"/>
          </w:rPr>
          <m:t>)</m:t>
        </m:r>
      </m:oMath>
      <w:r w:rsidRPr="00612923">
        <w:t xml:space="preserve"> is equal to the true impact (</w:t>
      </w:r>
      <w:proofErr w:type="spellStart"/>
      <w:r w:rsidRPr="00612923">
        <w:rPr>
          <w:i/>
          <w:iCs/>
        </w:rPr>
        <w:t>i</w:t>
      </w:r>
      <w:proofErr w:type="spellEnd"/>
      <w:r w:rsidRPr="00612923">
        <w:t>) plus noise,</w:t>
      </w:r>
      <m:oMath>
        <m:r>
          <w:rPr>
            <w:rFonts w:ascii="Cambria Math" w:hAnsi="Cambria Math"/>
          </w:rPr>
          <m:t xml:space="preserve"> ε</m:t>
        </m:r>
      </m:oMath>
      <w:r w:rsidRPr="00612923">
        <w:t xml:space="preserve"> (Equation 2).  Rearranging Equation 2 results in Equation 3, which shows that the true impact is equal to the estimated impact minus the noise term.  Substituting Equation 3 for </w:t>
      </w:r>
      <w:proofErr w:type="spellStart"/>
      <w:r w:rsidRPr="00612923">
        <w:rPr>
          <w:i/>
          <w:iCs/>
        </w:rPr>
        <w:t>i</w:t>
      </w:r>
      <w:proofErr w:type="spellEnd"/>
      <w:r w:rsidRPr="00612923">
        <w:rPr>
          <w:i/>
          <w:iCs/>
        </w:rPr>
        <w:t xml:space="preserve"> </w:t>
      </w:r>
      <w:r w:rsidRPr="00612923">
        <w:rPr>
          <w:iCs/>
        </w:rPr>
        <w:t>in Equation 1</w:t>
      </w:r>
      <w:r w:rsidRPr="00612923">
        <w:rPr>
          <w:i/>
          <w:iCs/>
        </w:rPr>
        <w:t xml:space="preserve"> </w:t>
      </w:r>
      <w:r w:rsidRPr="00612923">
        <w:t xml:space="preserve">produces Equation 4.  To get to Equation 5, threshold </w:t>
      </w:r>
      <w:r w:rsidRPr="00612923">
        <w:rPr>
          <w:i/>
          <w:iCs/>
        </w:rPr>
        <w:t>t</w:t>
      </w:r>
      <w:r w:rsidRPr="00612923">
        <w:t xml:space="preserve"> is substituted in for the estimated impact based on the given statement that the estimated impact is equal to threshold </w:t>
      </w:r>
      <w:r w:rsidRPr="00612923">
        <w:rPr>
          <w:i/>
          <w:iCs/>
        </w:rPr>
        <w:t>t</w:t>
      </w:r>
      <w:r w:rsidRPr="00612923">
        <w:t>.  Next, Equation 5 is rearranged so that the noise term is the only variable on the left side of the inequality.  The distribution of the noise term</w:t>
      </w:r>
      <w:proofErr w:type="gramStart"/>
      <w:r w:rsidRPr="00612923">
        <w:t xml:space="preserve">, </w:t>
      </w:r>
      <m:oMath>
        <w:proofErr w:type="gramEnd"/>
        <m:r>
          <w:rPr>
            <w:rFonts w:ascii="Cambria Math" w:hAnsi="Cambria Math"/>
          </w:rPr>
          <m:t>ε</m:t>
        </m:r>
      </m:oMath>
      <w:r w:rsidRPr="00612923">
        <w:t>, is known and is shown in the c</w:t>
      </w:r>
      <w:proofErr w:type="spellStart"/>
      <w:r w:rsidRPr="00612923">
        <w:t>lear</w:t>
      </w:r>
      <w:proofErr w:type="spellEnd"/>
      <w:r w:rsidRPr="00612923">
        <w:t xml:space="preserve"> histogram.  Based on this known distribution, there is a 95% probability that a customer will have a noise term that is less than 0.</w:t>
      </w:r>
      <w:r w:rsidR="00E747BD">
        <w:t>63</w:t>
      </w:r>
      <w:r w:rsidRPr="00612923">
        <w:t xml:space="preserve"> kWh (Equation 7).  Equations 6 and 7 are both statements about the distribution of the noise term.  Both are statements describing the 95</w:t>
      </w:r>
      <w:r w:rsidRPr="00612923">
        <w:rPr>
          <w:vertAlign w:val="superscript"/>
        </w:rPr>
        <w:t>th</w:t>
      </w:r>
      <w:r w:rsidRPr="00612923">
        <w:t xml:space="preserve"> percentile of the noise distribution, therefore both expressions of the value of the 95</w:t>
      </w:r>
      <w:r w:rsidRPr="00612923">
        <w:rPr>
          <w:vertAlign w:val="superscript"/>
        </w:rPr>
        <w:t>th</w:t>
      </w:r>
      <w:r w:rsidRPr="00612923">
        <w:t xml:space="preserve"> percentile can be set equal to each other to get Equation 8.  Solving Equation 8 for </w:t>
      </w:r>
      <w:r w:rsidRPr="00612923">
        <w:rPr>
          <w:i/>
          <w:iCs/>
        </w:rPr>
        <w:t>t</w:t>
      </w:r>
      <w:r w:rsidRPr="00612923">
        <w:t xml:space="preserve">, leaves Equation 9 which shows that threshold </w:t>
      </w:r>
      <w:r w:rsidRPr="00612923">
        <w:rPr>
          <w:i/>
          <w:iCs/>
        </w:rPr>
        <w:t>t</w:t>
      </w:r>
      <w:r w:rsidRPr="00612923">
        <w:t xml:space="preserve"> equals 0.</w:t>
      </w:r>
      <w:r w:rsidR="00E747BD">
        <w:t>86</w:t>
      </w:r>
      <w:r w:rsidRPr="00612923">
        <w:t xml:space="preserve"> kWh. </w:t>
      </w:r>
    </w:p>
    <w:p w:rsidR="00D508AD" w:rsidRPr="00612923" w:rsidRDefault="00D508AD" w:rsidP="00D508AD">
      <w:pPr>
        <w:pStyle w:val="BodyParagraph"/>
        <w:jc w:val="center"/>
      </w:pPr>
      <m:oMath>
        <m:r>
          <w:rPr>
            <w:rFonts w:ascii="Cambria Math" w:hAnsi="Cambria Math"/>
          </w:rPr>
          <m:t>P</m:t>
        </m:r>
        <m:d>
          <m:dPr>
            <m:ctrlPr>
              <w:rPr>
                <w:rFonts w:ascii="Cambria Math" w:hAnsi="Cambria Math"/>
                <w:i/>
              </w:rPr>
            </m:ctrlPr>
          </m:dPr>
          <m:e>
            <m:r>
              <w:rPr>
                <w:rFonts w:ascii="Cambria Math" w:hAnsi="Cambria Math"/>
              </w:rPr>
              <m:t xml:space="preserve">i&gt;0.23 | </m:t>
            </m:r>
            <m:acc>
              <m:accPr>
                <m:ctrlPr>
                  <w:rPr>
                    <w:rFonts w:ascii="Cambria Math" w:hAnsi="Cambria Math"/>
                    <w:i/>
                  </w:rPr>
                </m:ctrlPr>
              </m:accPr>
              <m:e>
                <m:r>
                  <w:rPr>
                    <w:rFonts w:ascii="Cambria Math" w:hAnsi="Cambria Math"/>
                  </w:rPr>
                  <m:t>i</m:t>
                </m:r>
              </m:e>
            </m:acc>
            <m:r>
              <w:rPr>
                <w:rFonts w:ascii="Cambria Math" w:hAnsi="Cambria Math"/>
              </w:rPr>
              <m:t>=t</m:t>
            </m:r>
          </m:e>
        </m:d>
        <m:r>
          <w:rPr>
            <w:rFonts w:ascii="Cambria Math" w:hAnsi="Cambria Math"/>
          </w:rPr>
          <m:t>=95%</m:t>
        </m:r>
      </m:oMath>
      <w:r w:rsidRPr="00612923">
        <w:t xml:space="preserve">  (Equation 1)</w:t>
      </w:r>
    </w:p>
    <w:p w:rsidR="00D508AD" w:rsidRPr="00612923" w:rsidRDefault="00071D48" w:rsidP="00D508AD">
      <w:pPr>
        <w:pStyle w:val="BodyParagraph"/>
        <w:jc w:val="center"/>
      </w:pPr>
      <m:oMath>
        <m:acc>
          <m:accPr>
            <m:ctrlPr>
              <w:rPr>
                <w:rFonts w:ascii="Cambria Math" w:hAnsi="Cambria Math"/>
                <w:i/>
              </w:rPr>
            </m:ctrlPr>
          </m:accPr>
          <m:e>
            <m:r>
              <w:rPr>
                <w:rFonts w:ascii="Cambria Math" w:hAnsi="Cambria Math"/>
              </w:rPr>
              <m:t>i</m:t>
            </m:r>
          </m:e>
        </m:acc>
        <m:r>
          <w:rPr>
            <w:rFonts w:ascii="Cambria Math" w:hAnsi="Cambria Math"/>
          </w:rPr>
          <m:t>=i+ε</m:t>
        </m:r>
      </m:oMath>
      <w:r w:rsidR="00D508AD" w:rsidRPr="00612923">
        <w:t xml:space="preserve">  (Equation 2)</w:t>
      </w:r>
    </w:p>
    <w:p w:rsidR="00D508AD" w:rsidRPr="00612923" w:rsidRDefault="00D508AD" w:rsidP="00D508AD">
      <w:pPr>
        <w:pStyle w:val="BodyParagraph"/>
        <w:jc w:val="center"/>
      </w:pPr>
      <m:oMath>
        <m:r>
          <w:rPr>
            <w:rFonts w:ascii="Cambria Math" w:hAnsi="Cambria Math"/>
          </w:rPr>
          <m:t>i=</m:t>
        </m:r>
        <m:acc>
          <m:accPr>
            <m:ctrlPr>
              <w:rPr>
                <w:rFonts w:ascii="Cambria Math" w:hAnsi="Cambria Math"/>
                <w:i/>
              </w:rPr>
            </m:ctrlPr>
          </m:accPr>
          <m:e>
            <m:r>
              <w:rPr>
                <w:rFonts w:ascii="Cambria Math" w:hAnsi="Cambria Math"/>
              </w:rPr>
              <m:t>i</m:t>
            </m:r>
          </m:e>
        </m:acc>
        <m:r>
          <w:rPr>
            <w:rFonts w:ascii="Cambria Math" w:hAnsi="Cambria Math"/>
          </w:rPr>
          <m:t>-ε</m:t>
        </m:r>
      </m:oMath>
      <w:r w:rsidRPr="00612923">
        <w:t xml:space="preserve">  (Equation 3)</w:t>
      </w:r>
    </w:p>
    <w:p w:rsidR="00D508AD" w:rsidRPr="00612923" w:rsidRDefault="00D508AD" w:rsidP="00D508AD">
      <w:pPr>
        <w:pStyle w:val="BodyParagraph"/>
        <w:jc w:val="center"/>
      </w:pPr>
      <m:oMath>
        <m:r>
          <w:rPr>
            <w:rFonts w:ascii="Cambria Math" w:hAnsi="Cambria Math"/>
          </w:rPr>
          <m:t>P</m:t>
        </m:r>
        <m:d>
          <m:dPr>
            <m:ctrlPr>
              <w:rPr>
                <w:rFonts w:ascii="Cambria Math" w:hAnsi="Cambria Math"/>
                <w:i/>
              </w:rPr>
            </m:ctrlPr>
          </m:dPr>
          <m:e>
            <m:acc>
              <m:accPr>
                <m:ctrlPr>
                  <w:rPr>
                    <w:rFonts w:ascii="Cambria Math" w:hAnsi="Cambria Math"/>
                    <w:i/>
                  </w:rPr>
                </m:ctrlPr>
              </m:accPr>
              <m:e>
                <m:r>
                  <w:rPr>
                    <w:rFonts w:ascii="Cambria Math" w:hAnsi="Cambria Math"/>
                  </w:rPr>
                  <m:t>i</m:t>
                </m:r>
              </m:e>
            </m:acc>
            <m:r>
              <w:rPr>
                <w:rFonts w:ascii="Cambria Math" w:hAnsi="Cambria Math"/>
              </w:rPr>
              <m:t xml:space="preserve">-ε&gt;0.23 | </m:t>
            </m:r>
            <m:acc>
              <m:accPr>
                <m:ctrlPr>
                  <w:rPr>
                    <w:rFonts w:ascii="Cambria Math" w:hAnsi="Cambria Math"/>
                    <w:i/>
                  </w:rPr>
                </m:ctrlPr>
              </m:accPr>
              <m:e>
                <m:r>
                  <w:rPr>
                    <w:rFonts w:ascii="Cambria Math" w:hAnsi="Cambria Math"/>
                  </w:rPr>
                  <m:t>i</m:t>
                </m:r>
              </m:e>
            </m:acc>
            <m:r>
              <w:rPr>
                <w:rFonts w:ascii="Cambria Math" w:hAnsi="Cambria Math"/>
              </w:rPr>
              <m:t>=t</m:t>
            </m:r>
          </m:e>
        </m:d>
        <m:r>
          <w:rPr>
            <w:rFonts w:ascii="Cambria Math" w:hAnsi="Cambria Math"/>
          </w:rPr>
          <m:t>=95%</m:t>
        </m:r>
      </m:oMath>
      <w:r w:rsidRPr="00612923">
        <w:t xml:space="preserve">  (Equation 4)</w:t>
      </w:r>
    </w:p>
    <w:p w:rsidR="00D508AD" w:rsidRPr="00612923" w:rsidRDefault="00D508AD" w:rsidP="00D508AD">
      <w:pPr>
        <w:pStyle w:val="BodyParagraph"/>
        <w:jc w:val="center"/>
      </w:pPr>
      <m:oMath>
        <m:r>
          <w:rPr>
            <w:rFonts w:ascii="Cambria Math" w:hAnsi="Cambria Math"/>
          </w:rPr>
          <m:t>P</m:t>
        </m:r>
        <m:d>
          <m:dPr>
            <m:ctrlPr>
              <w:rPr>
                <w:rFonts w:ascii="Cambria Math" w:hAnsi="Cambria Math"/>
                <w:i/>
              </w:rPr>
            </m:ctrlPr>
          </m:dPr>
          <m:e>
            <m:r>
              <w:rPr>
                <w:rFonts w:ascii="Cambria Math" w:hAnsi="Cambria Math"/>
              </w:rPr>
              <m:t>t-ε&gt;0.23</m:t>
            </m:r>
          </m:e>
        </m:d>
        <m:r>
          <w:rPr>
            <w:rFonts w:ascii="Cambria Math" w:hAnsi="Cambria Math"/>
          </w:rPr>
          <m:t>=95%</m:t>
        </m:r>
      </m:oMath>
      <w:r w:rsidRPr="00612923">
        <w:t xml:space="preserve">  (Equation 5)</w:t>
      </w:r>
    </w:p>
    <w:p w:rsidR="00D508AD" w:rsidRPr="00612923" w:rsidRDefault="00D508AD" w:rsidP="00D508AD">
      <w:pPr>
        <w:pStyle w:val="BodyParagraph"/>
        <w:jc w:val="center"/>
      </w:pPr>
      <m:oMath>
        <m:r>
          <w:rPr>
            <w:rFonts w:ascii="Cambria Math" w:hAnsi="Cambria Math"/>
          </w:rPr>
          <m:t>P</m:t>
        </m:r>
        <m:d>
          <m:dPr>
            <m:ctrlPr>
              <w:rPr>
                <w:rFonts w:ascii="Cambria Math" w:hAnsi="Cambria Math"/>
                <w:i/>
              </w:rPr>
            </m:ctrlPr>
          </m:dPr>
          <m:e>
            <m:r>
              <w:rPr>
                <w:rFonts w:ascii="Cambria Math" w:hAnsi="Cambria Math"/>
              </w:rPr>
              <m:t>ε&lt;t-0.23</m:t>
            </m:r>
          </m:e>
        </m:d>
        <m:r>
          <w:rPr>
            <w:rFonts w:ascii="Cambria Math" w:hAnsi="Cambria Math"/>
          </w:rPr>
          <m:t>=95%</m:t>
        </m:r>
      </m:oMath>
      <w:r w:rsidRPr="00612923">
        <w:t xml:space="preserve">  (Equation 6)</w:t>
      </w:r>
    </w:p>
    <w:p w:rsidR="00D508AD" w:rsidRPr="00612923" w:rsidRDefault="00D508AD" w:rsidP="00D508AD">
      <w:pPr>
        <w:pStyle w:val="BodyParagraph"/>
        <w:jc w:val="center"/>
      </w:pPr>
      <m:oMath>
        <m:r>
          <w:rPr>
            <w:rFonts w:ascii="Cambria Math" w:hAnsi="Cambria Math"/>
          </w:rPr>
          <m:t>P</m:t>
        </m:r>
        <m:d>
          <m:dPr>
            <m:ctrlPr>
              <w:rPr>
                <w:rFonts w:ascii="Cambria Math" w:hAnsi="Cambria Math"/>
                <w:i/>
              </w:rPr>
            </m:ctrlPr>
          </m:dPr>
          <m:e>
            <m:r>
              <w:rPr>
                <w:rFonts w:ascii="Cambria Math" w:hAnsi="Cambria Math"/>
              </w:rPr>
              <m:t>ε&lt;0.63</m:t>
            </m:r>
          </m:e>
        </m:d>
        <m:r>
          <w:rPr>
            <w:rFonts w:ascii="Cambria Math" w:hAnsi="Cambria Math"/>
          </w:rPr>
          <m:t>=95%</m:t>
        </m:r>
      </m:oMath>
      <w:r w:rsidRPr="00612923">
        <w:t xml:space="preserve">  (Equation 7)</w:t>
      </w:r>
    </w:p>
    <w:p w:rsidR="00D508AD" w:rsidRPr="00612923" w:rsidRDefault="00D508AD" w:rsidP="00D508AD">
      <w:pPr>
        <w:pStyle w:val="BodyParagraph"/>
        <w:jc w:val="center"/>
      </w:pPr>
      <m:oMath>
        <m:r>
          <w:rPr>
            <w:rFonts w:ascii="Cambria Math" w:hAnsi="Cambria Math"/>
          </w:rPr>
          <m:t>0.63=t-0.23</m:t>
        </m:r>
      </m:oMath>
      <w:r w:rsidRPr="00612923">
        <w:t xml:space="preserve">  (Equation 8)</w:t>
      </w:r>
    </w:p>
    <w:p w:rsidR="00D508AD" w:rsidRPr="00612923" w:rsidRDefault="00D508AD" w:rsidP="00D508AD">
      <w:pPr>
        <w:pStyle w:val="BodyParagraph"/>
        <w:jc w:val="center"/>
      </w:pPr>
      <m:oMath>
        <m:r>
          <w:rPr>
            <w:rFonts w:ascii="Cambria Math" w:hAnsi="Cambria Math"/>
          </w:rPr>
          <m:t xml:space="preserve">t=0.86  </m:t>
        </m:r>
      </m:oMath>
      <w:r w:rsidRPr="00612923">
        <w:t>(Equation 9)</w:t>
      </w:r>
    </w:p>
    <w:p w:rsidR="00D508AD" w:rsidRDefault="00A02755" w:rsidP="00A02755">
      <w:pPr>
        <w:pStyle w:val="BodyParagraph"/>
      </w:pPr>
      <w:r>
        <w:t>Similarly, to</w:t>
      </w:r>
      <w:r w:rsidRPr="00612923">
        <w:t xml:space="preserve"> identify </w:t>
      </w:r>
      <w:r>
        <w:t xml:space="preserve">dually-enrolled </w:t>
      </w:r>
      <w:r w:rsidRPr="00612923">
        <w:t xml:space="preserve">customers who are </w:t>
      </w:r>
      <w:r>
        <w:t>high responders,</w:t>
      </w:r>
      <w:r w:rsidRPr="00612923">
        <w:t xml:space="preserve"> we note that only 5% of customers in the control group have a noise estimate greater than 0.</w:t>
      </w:r>
      <w:r>
        <w:t>80</w:t>
      </w:r>
      <w:r w:rsidRPr="00612923">
        <w:t xml:space="preserve"> kW.  Given that the mean SmartRate</w:t>
      </w:r>
      <w:r>
        <w:t xml:space="preserve"> impact is 0.53 kW for dually-enrolled customers, </w:t>
      </w:r>
      <w:r w:rsidRPr="00612923">
        <w:t xml:space="preserve">any customer with a load impact estimate greater than </w:t>
      </w:r>
      <w:r>
        <w:t>1.33</w:t>
      </w:r>
      <w:r w:rsidRPr="00612923">
        <w:t xml:space="preserve"> kW has a 95% or greater of having a true impact greater than 0.</w:t>
      </w:r>
      <w:r>
        <w:t>53</w:t>
      </w:r>
      <w:r w:rsidRPr="00612923">
        <w:t xml:space="preserve"> kW.</w:t>
      </w:r>
      <w:r w:rsidRPr="00612923">
        <w:rPr>
          <w:rStyle w:val="FootnoteReference"/>
        </w:rPr>
        <w:footnoteReference w:id="36"/>
      </w:r>
      <w:r w:rsidRPr="00612923">
        <w:t xml:space="preserve">  </w:t>
      </w:r>
      <w:r w:rsidR="00983503" w:rsidRPr="00612923">
        <w:t xml:space="preserve">Figure C-1 shows the distribution of estimated coefficients for both the </w:t>
      </w:r>
      <w:r w:rsidR="00983503">
        <w:t xml:space="preserve">dually-enrolled </w:t>
      </w:r>
      <w:r w:rsidR="00983503" w:rsidRPr="00612923">
        <w:t>population and control group.  The red line marks 0.</w:t>
      </w:r>
      <w:r w:rsidR="00983503">
        <w:t>5</w:t>
      </w:r>
      <w:r w:rsidR="00983503" w:rsidRPr="00612923">
        <w:t>3 kW, the blue line is at 0.</w:t>
      </w:r>
      <w:r w:rsidR="00983503">
        <w:t>80</w:t>
      </w:r>
      <w:r w:rsidR="00983503" w:rsidRPr="00612923">
        <w:t xml:space="preserve"> kW and the black line is at </w:t>
      </w:r>
      <w:r w:rsidR="00983503">
        <w:t>1.33</w:t>
      </w:r>
      <w:r w:rsidR="00983503" w:rsidRPr="00612923">
        <w:t xml:space="preserve"> kW.  All customers in the</w:t>
      </w:r>
      <w:r w:rsidR="00983503">
        <w:t xml:space="preserve"> dually-enrolled</w:t>
      </w:r>
      <w:r w:rsidR="00983503" w:rsidRPr="00612923">
        <w:t xml:space="preserve"> SmartRate group (the light blue distribution) to the right of the black reference line are considered high responders.     </w:t>
      </w:r>
    </w:p>
    <w:p w:rsidR="00983503" w:rsidRPr="00612923" w:rsidRDefault="00983503" w:rsidP="00983503">
      <w:pPr>
        <w:pStyle w:val="TableFigureCaption"/>
      </w:pPr>
      <w:r w:rsidRPr="00612923">
        <w:lastRenderedPageBreak/>
        <w:t xml:space="preserve">Figure C-1: Distribution of Average Estimated Coefficients </w:t>
      </w:r>
      <w:r w:rsidRPr="00612923">
        <w:br/>
        <w:t>for SmartRate-Only and Control Group Customers</w:t>
      </w:r>
      <w:r>
        <w:rPr>
          <w:noProof/>
        </w:rPr>
        <w:drawing>
          <wp:inline distT="0" distB="0" distL="0" distR="0">
            <wp:extent cx="5114290" cy="37426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4290" cy="3742690"/>
                    </a:xfrm>
                    <a:prstGeom prst="rect">
                      <a:avLst/>
                    </a:prstGeom>
                    <a:noFill/>
                    <a:ln>
                      <a:noFill/>
                    </a:ln>
                  </pic:spPr>
                </pic:pic>
              </a:graphicData>
            </a:graphic>
          </wp:inline>
        </w:drawing>
      </w:r>
    </w:p>
    <w:p w:rsidR="00CF4B19" w:rsidRDefault="00CF4B19">
      <w:pPr>
        <w:rPr>
          <w:rFonts w:ascii="Arial" w:eastAsia="Times New Roman" w:hAnsi="Arial" w:cs="Arial"/>
          <w:snapToGrid w:val="0"/>
          <w:color w:val="403152" w:themeColor="accent4" w:themeShade="80"/>
          <w:w w:val="0"/>
          <w:sz w:val="28"/>
          <w:szCs w:val="0"/>
          <w:highlight w:val="lightGray"/>
        </w:rPr>
      </w:pPr>
      <w:r>
        <w:rPr>
          <w:rFonts w:ascii="Arial" w:hAnsi="Arial" w:cs="Arial"/>
          <w:b/>
          <w:snapToGrid w:val="0"/>
          <w:w w:val="0"/>
          <w:szCs w:val="0"/>
          <w:highlight w:val="lightGray"/>
        </w:rPr>
        <w:br w:type="page"/>
      </w:r>
    </w:p>
    <w:p w:rsidR="007773AB" w:rsidRPr="0035126D" w:rsidRDefault="00CF4B19" w:rsidP="007773AB">
      <w:pPr>
        <w:pStyle w:val="AppendixHeading"/>
        <w:rPr>
          <w:b w:val="0"/>
        </w:rPr>
      </w:pPr>
      <w:bookmarkStart w:id="130" w:name="_Toc352567332"/>
      <w:r w:rsidRPr="0035126D">
        <w:rPr>
          <w:b w:val="0"/>
        </w:rPr>
        <w:lastRenderedPageBreak/>
        <w:t>Propensity Score Matching to Support SmartRate Ex Ante Estimation</w:t>
      </w:r>
      <w:bookmarkEnd w:id="130"/>
    </w:p>
    <w:p w:rsidR="007773AB" w:rsidRPr="00612923" w:rsidRDefault="007773AB" w:rsidP="007773AB">
      <w:pPr>
        <w:pStyle w:val="BodyParagraph"/>
      </w:pPr>
      <w:r w:rsidRPr="00612923">
        <w:t xml:space="preserve">Ex ante impact estimates were calculated by making predictions for ex ante weather conditions using a regression model of ex post impacts from 2011 and 2012.  </w:t>
      </w:r>
    </w:p>
    <w:p w:rsidR="00BF3ED7" w:rsidRDefault="007773AB" w:rsidP="007773AB">
      <w:pPr>
        <w:pStyle w:val="BodyParagraph"/>
      </w:pPr>
      <w:r w:rsidRPr="00612923">
        <w:t>Prior to regr</w:t>
      </w:r>
      <w:r>
        <w:t xml:space="preserve">ession modeling, FSC developed a sample of customers </w:t>
      </w:r>
      <w:r w:rsidRPr="00612923">
        <w:t>that experienced all the 2011 events and all the 2012 events</w:t>
      </w:r>
      <w:r w:rsidR="00A02776">
        <w:t xml:space="preserve"> and </w:t>
      </w:r>
      <w:r w:rsidRPr="00612923">
        <w:t xml:space="preserve">that had similar observable characteristics to the SmartRate population as of October 2012.  October 2012 is the most up-to-date snapshot we have of the SmartRate population and our ex ante load impact estimates are designed to be representative of that population.  These groups of customers were identified using the same procedure used to identify matched control groups for the 2011 and 2012 evaluations.  Customers were matched on </w:t>
      </w:r>
      <w:r w:rsidR="007F46B7">
        <w:t xml:space="preserve">CARE status, </w:t>
      </w:r>
      <w:r w:rsidR="007F46B7" w:rsidRPr="007F46B7">
        <w:t xml:space="preserve">hourly </w:t>
      </w:r>
      <w:r w:rsidRPr="007F46B7">
        <w:t>usage</w:t>
      </w:r>
      <w:r w:rsidR="007F46B7" w:rsidRPr="007F46B7">
        <w:t xml:space="preserve"> from 7 AM to 7 PM, and a</w:t>
      </w:r>
      <w:r w:rsidR="00FC5578">
        <w:t>n</w:t>
      </w:r>
      <w:r w:rsidR="007F46B7" w:rsidRPr="007F46B7">
        <w:t xml:space="preserve"> average hourly usage throughout the day on</w:t>
      </w:r>
      <w:r w:rsidRPr="007F46B7">
        <w:t xml:space="preserve"> </w:t>
      </w:r>
      <w:r w:rsidR="00BF3ED7" w:rsidRPr="007F46B7">
        <w:t>hot, non-event days.</w:t>
      </w:r>
      <w:r w:rsidR="007F46B7" w:rsidRPr="007F46B7">
        <w:t xml:space="preserve"> The match was performed within each LCA.</w:t>
      </w:r>
    </w:p>
    <w:p w:rsidR="00BF3ED7" w:rsidRDefault="00BF3ED7" w:rsidP="00BF3ED7">
      <w:pPr>
        <w:pStyle w:val="BodyParagraph"/>
      </w:pPr>
      <w:r>
        <w:t>Next, m</w:t>
      </w:r>
      <w:r w:rsidRPr="00612923">
        <w:t xml:space="preserve">atched control groups were developed for these groups of SmartRate customers, again using the same propensity score matching process.  </w:t>
      </w:r>
      <w:r w:rsidR="007F46B7">
        <w:t>A</w:t>
      </w:r>
      <w:r>
        <w:t xml:space="preserve"> control group was created for the 2011 event days and a separate control group was developed for the event days in 2012.  </w:t>
      </w:r>
      <w:r w:rsidR="00A02776">
        <w:t xml:space="preserve">Different control groups were not necessary from an analytical point of view because the SmartRate group in 2011 was by design representative of the SmartRate group in 2012.  However, FSC had on hand interval data for 2011 for a different pool of non-SmartRate customers than for 2012.  </w:t>
      </w:r>
      <w:r w:rsidR="007F46B7">
        <w:t>This entire process was performed twice, once for SmartRate-Only customers and once for duall</w:t>
      </w:r>
      <w:r w:rsidR="00A02776">
        <w:t>y</w:t>
      </w:r>
      <w:r w:rsidR="007F46B7">
        <w:t xml:space="preserve">-enrolled customers.  </w:t>
      </w:r>
      <w:r>
        <w:t>Table C-1 shows evidence of the validity of this match.  The four groups are distributed similarly over the seven LCAs.  The groups have comparable usage</w:t>
      </w:r>
      <w:r w:rsidR="008371D1">
        <w:t xml:space="preserve"> </w:t>
      </w:r>
      <w:r w:rsidR="00280947">
        <w:t>from the hours from 2 to 7 PM and a</w:t>
      </w:r>
      <w:r w:rsidR="008371D1">
        <w:t xml:space="preserve">pproximately the same </w:t>
      </w:r>
      <w:proofErr w:type="gramStart"/>
      <w:r w:rsidR="006D2A35">
        <w:t>percentage of customers in each group are</w:t>
      </w:r>
      <w:proofErr w:type="gramEnd"/>
      <w:r w:rsidR="008371D1">
        <w:t xml:space="preserve"> CARE customers.</w:t>
      </w:r>
      <w:r w:rsidR="007F46B7">
        <w:t xml:space="preserve">  </w:t>
      </w:r>
    </w:p>
    <w:p w:rsidR="00BF3ED7" w:rsidRDefault="00BF3ED7" w:rsidP="00A02776">
      <w:pPr>
        <w:pStyle w:val="TableFigureCaption"/>
      </w:pPr>
      <w:r>
        <w:t>Tabl</w:t>
      </w:r>
      <w:r w:rsidRPr="00612923">
        <w:t xml:space="preserve">e C-1: Distributions of LCA, Usage and CARE Status </w:t>
      </w:r>
      <w:r>
        <w:t xml:space="preserve">for </w:t>
      </w:r>
      <w:r w:rsidR="008371D1">
        <w:t>SmartRate-Only</w:t>
      </w:r>
      <w:r>
        <w:t xml:space="preserve"> </w:t>
      </w:r>
      <w:r w:rsidRPr="00612923">
        <w:t xml:space="preserve">Customers, </w:t>
      </w:r>
      <w:r w:rsidR="008371D1">
        <w:t>Two-Year Customers, and Control Customers</w:t>
      </w:r>
    </w:p>
    <w:tbl>
      <w:tblPr>
        <w:tblW w:w="9080" w:type="dxa"/>
        <w:tblInd w:w="93" w:type="dxa"/>
        <w:tblLook w:val="04A0"/>
      </w:tblPr>
      <w:tblGrid>
        <w:gridCol w:w="2260"/>
        <w:gridCol w:w="2160"/>
        <w:gridCol w:w="1660"/>
        <w:gridCol w:w="1460"/>
        <w:gridCol w:w="1540"/>
      </w:tblGrid>
      <w:tr w:rsidR="00BF3ED7" w:rsidRPr="00BF3ED7" w:rsidTr="00BF3ED7">
        <w:trPr>
          <w:trHeight w:val="900"/>
        </w:trPr>
        <w:tc>
          <w:tcPr>
            <w:tcW w:w="2260" w:type="dxa"/>
            <w:tcBorders>
              <w:top w:val="single" w:sz="4" w:space="0" w:color="auto"/>
              <w:left w:val="single" w:sz="4" w:space="0" w:color="auto"/>
              <w:bottom w:val="single" w:sz="4" w:space="0" w:color="auto"/>
              <w:right w:val="single" w:sz="4" w:space="0" w:color="FFFFFF"/>
            </w:tcBorders>
            <w:shd w:val="clear" w:color="000000" w:fill="1F497D"/>
            <w:noWrap/>
            <w:vAlign w:val="center"/>
            <w:hideMark/>
          </w:tcPr>
          <w:p w:rsidR="00BF3ED7" w:rsidRPr="00BF3ED7" w:rsidRDefault="00BF3ED7" w:rsidP="00254844">
            <w:pPr>
              <w:keepNext/>
              <w:spacing w:after="0" w:line="240" w:lineRule="auto"/>
              <w:jc w:val="center"/>
              <w:rPr>
                <w:rFonts w:ascii="Calibri" w:eastAsia="Times New Roman" w:hAnsi="Calibri" w:cs="Times New Roman"/>
                <w:b/>
                <w:bCs/>
                <w:color w:val="FFFFFF"/>
              </w:rPr>
            </w:pPr>
            <w:r w:rsidRPr="00BF3ED7">
              <w:rPr>
                <w:rFonts w:ascii="Calibri" w:eastAsia="Times New Roman" w:hAnsi="Calibri" w:cs="Times New Roman"/>
                <w:b/>
                <w:bCs/>
                <w:color w:val="FFFFFF"/>
              </w:rPr>
              <w:t>Characteristic</w:t>
            </w:r>
          </w:p>
        </w:tc>
        <w:tc>
          <w:tcPr>
            <w:tcW w:w="2160" w:type="dxa"/>
            <w:tcBorders>
              <w:top w:val="single" w:sz="4" w:space="0" w:color="auto"/>
              <w:left w:val="nil"/>
              <w:bottom w:val="single" w:sz="4" w:space="0" w:color="auto"/>
              <w:right w:val="single" w:sz="4" w:space="0" w:color="FFFFFF"/>
            </w:tcBorders>
            <w:shd w:val="clear" w:color="000000" w:fill="1F497D"/>
            <w:vAlign w:val="center"/>
            <w:hideMark/>
          </w:tcPr>
          <w:p w:rsidR="00BF3ED7" w:rsidRPr="00BF3ED7" w:rsidRDefault="00BF3ED7" w:rsidP="00254844">
            <w:pPr>
              <w:keepNext/>
              <w:spacing w:after="0" w:line="240" w:lineRule="auto"/>
              <w:jc w:val="center"/>
              <w:rPr>
                <w:rFonts w:ascii="Calibri" w:eastAsia="Times New Roman" w:hAnsi="Calibri" w:cs="Times New Roman"/>
                <w:b/>
                <w:bCs/>
                <w:color w:val="FFFFFF"/>
              </w:rPr>
            </w:pPr>
            <w:r w:rsidRPr="00BF3ED7">
              <w:rPr>
                <w:rFonts w:ascii="Calibri" w:eastAsia="Times New Roman" w:hAnsi="Calibri" w:cs="Times New Roman"/>
                <w:b/>
                <w:bCs/>
                <w:color w:val="FFFFFF"/>
              </w:rPr>
              <w:t>SmartRate Population as of 10-23-2012</w:t>
            </w:r>
          </w:p>
        </w:tc>
        <w:tc>
          <w:tcPr>
            <w:tcW w:w="1660" w:type="dxa"/>
            <w:tcBorders>
              <w:top w:val="single" w:sz="4" w:space="0" w:color="auto"/>
              <w:left w:val="nil"/>
              <w:bottom w:val="single" w:sz="4" w:space="0" w:color="auto"/>
              <w:right w:val="single" w:sz="4" w:space="0" w:color="FFFFFF"/>
            </w:tcBorders>
            <w:shd w:val="clear" w:color="000000" w:fill="1F497D"/>
            <w:vAlign w:val="center"/>
            <w:hideMark/>
          </w:tcPr>
          <w:p w:rsidR="00BF3ED7" w:rsidRPr="00BF3ED7" w:rsidRDefault="00BF3ED7" w:rsidP="00254844">
            <w:pPr>
              <w:keepNext/>
              <w:spacing w:after="0" w:line="240" w:lineRule="auto"/>
              <w:jc w:val="center"/>
              <w:rPr>
                <w:rFonts w:ascii="Calibri" w:eastAsia="Times New Roman" w:hAnsi="Calibri" w:cs="Times New Roman"/>
                <w:b/>
                <w:bCs/>
                <w:color w:val="FFFFFF"/>
              </w:rPr>
            </w:pPr>
            <w:r w:rsidRPr="00BF3ED7">
              <w:rPr>
                <w:rFonts w:ascii="Calibri" w:eastAsia="Times New Roman" w:hAnsi="Calibri" w:cs="Times New Roman"/>
                <w:b/>
                <w:bCs/>
                <w:color w:val="FFFFFF"/>
              </w:rPr>
              <w:t>Customers on SmartRate for two years</w:t>
            </w:r>
          </w:p>
        </w:tc>
        <w:tc>
          <w:tcPr>
            <w:tcW w:w="1460" w:type="dxa"/>
            <w:tcBorders>
              <w:top w:val="single" w:sz="4" w:space="0" w:color="auto"/>
              <w:left w:val="nil"/>
              <w:bottom w:val="single" w:sz="4" w:space="0" w:color="auto"/>
              <w:right w:val="single" w:sz="4" w:space="0" w:color="FFFFFF"/>
            </w:tcBorders>
            <w:shd w:val="clear" w:color="000000" w:fill="1F497D"/>
            <w:vAlign w:val="center"/>
            <w:hideMark/>
          </w:tcPr>
          <w:p w:rsidR="00BF3ED7" w:rsidRPr="00BF3ED7" w:rsidRDefault="00BF3ED7" w:rsidP="00254844">
            <w:pPr>
              <w:keepNext/>
              <w:spacing w:after="0" w:line="240" w:lineRule="auto"/>
              <w:jc w:val="center"/>
              <w:rPr>
                <w:rFonts w:ascii="Calibri" w:eastAsia="Times New Roman" w:hAnsi="Calibri" w:cs="Times New Roman"/>
                <w:b/>
                <w:bCs/>
                <w:color w:val="FFFFFF"/>
              </w:rPr>
            </w:pPr>
            <w:r w:rsidRPr="00BF3ED7">
              <w:rPr>
                <w:rFonts w:ascii="Calibri" w:eastAsia="Times New Roman" w:hAnsi="Calibri" w:cs="Times New Roman"/>
                <w:b/>
                <w:bCs/>
                <w:color w:val="FFFFFF"/>
              </w:rPr>
              <w:t>Control Group for 2011 Event Days</w:t>
            </w:r>
          </w:p>
        </w:tc>
        <w:tc>
          <w:tcPr>
            <w:tcW w:w="1540" w:type="dxa"/>
            <w:tcBorders>
              <w:top w:val="single" w:sz="4" w:space="0" w:color="auto"/>
              <w:left w:val="nil"/>
              <w:bottom w:val="single" w:sz="4" w:space="0" w:color="auto"/>
              <w:right w:val="single" w:sz="4" w:space="0" w:color="auto"/>
            </w:tcBorders>
            <w:shd w:val="clear" w:color="000000" w:fill="1F497D"/>
            <w:vAlign w:val="center"/>
            <w:hideMark/>
          </w:tcPr>
          <w:p w:rsidR="00BF3ED7" w:rsidRPr="00BF3ED7" w:rsidRDefault="00BF3ED7" w:rsidP="00254844">
            <w:pPr>
              <w:keepNext/>
              <w:spacing w:after="0" w:line="240" w:lineRule="auto"/>
              <w:jc w:val="center"/>
              <w:rPr>
                <w:rFonts w:ascii="Calibri" w:eastAsia="Times New Roman" w:hAnsi="Calibri" w:cs="Times New Roman"/>
                <w:b/>
                <w:bCs/>
                <w:color w:val="FFFFFF"/>
              </w:rPr>
            </w:pPr>
            <w:r w:rsidRPr="00BF3ED7">
              <w:rPr>
                <w:rFonts w:ascii="Calibri" w:eastAsia="Times New Roman" w:hAnsi="Calibri" w:cs="Times New Roman"/>
                <w:b/>
                <w:bCs/>
                <w:color w:val="FFFFFF"/>
              </w:rPr>
              <w:t>Control Group for 2012 Event Days</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Greater Bay Area</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43.2%</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43.2%</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43.4%</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43.1%</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Greater Fresno</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9.9%</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9.9%</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10.2%</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9.9%</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Kern</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11.1%</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11.1%</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11.3%</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11.1%</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Northern Coast</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4.9%</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4.9%</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4.8%</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4.9%</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Other</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15.2%</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15.2%</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15.4%</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15.3%</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Sierra</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7.7%</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7.7%</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7.3%</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7.7%</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Stockton</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8.0%</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8.0%</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7.5%</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8.0%</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Care</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34.6%</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34.4%</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33.5%</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35.7%</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BF3ED7">
            <w:pPr>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kW from 2-7 PM</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BF3ED7">
            <w:pPr>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1.54</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BF3ED7">
            <w:pPr>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1.56</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BF3ED7">
            <w:pPr>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1.47</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BF3ED7">
            <w:pPr>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1.55</w:t>
            </w:r>
          </w:p>
        </w:tc>
      </w:tr>
    </w:tbl>
    <w:p w:rsidR="00BF3ED7" w:rsidRDefault="00BF3ED7" w:rsidP="00BF3ED7">
      <w:pPr>
        <w:pStyle w:val="BodyParagraph"/>
      </w:pPr>
    </w:p>
    <w:p w:rsidR="008371D1" w:rsidRDefault="008371D1" w:rsidP="008371D1">
      <w:pPr>
        <w:pStyle w:val="TableFigureCaption"/>
      </w:pPr>
      <w:r>
        <w:lastRenderedPageBreak/>
        <w:t>Tabl</w:t>
      </w:r>
      <w:r w:rsidRPr="00612923">
        <w:t>e C-</w:t>
      </w:r>
      <w:r>
        <w:t>2</w:t>
      </w:r>
      <w:r w:rsidRPr="00612923">
        <w:t xml:space="preserve">: Distributions of LCA, Usage and CARE Status </w:t>
      </w:r>
      <w:r>
        <w:t xml:space="preserve">for Dually-Enrolled </w:t>
      </w:r>
      <w:r w:rsidRPr="00612923">
        <w:t xml:space="preserve">Customers, </w:t>
      </w:r>
      <w:r>
        <w:t>Two-Year Customers, and Control Customers</w:t>
      </w:r>
    </w:p>
    <w:tbl>
      <w:tblPr>
        <w:tblW w:w="9080" w:type="dxa"/>
        <w:tblInd w:w="93" w:type="dxa"/>
        <w:tblLook w:val="04A0"/>
      </w:tblPr>
      <w:tblGrid>
        <w:gridCol w:w="2260"/>
        <w:gridCol w:w="2160"/>
        <w:gridCol w:w="1660"/>
        <w:gridCol w:w="1460"/>
        <w:gridCol w:w="1540"/>
      </w:tblGrid>
      <w:tr w:rsidR="00BF3ED7" w:rsidRPr="00BF3ED7" w:rsidTr="00BF3ED7">
        <w:trPr>
          <w:trHeight w:val="900"/>
        </w:trPr>
        <w:tc>
          <w:tcPr>
            <w:tcW w:w="2260" w:type="dxa"/>
            <w:tcBorders>
              <w:top w:val="single" w:sz="4" w:space="0" w:color="auto"/>
              <w:left w:val="single" w:sz="4" w:space="0" w:color="auto"/>
              <w:bottom w:val="single" w:sz="4" w:space="0" w:color="auto"/>
              <w:right w:val="single" w:sz="4" w:space="0" w:color="FFFFFF"/>
            </w:tcBorders>
            <w:shd w:val="clear" w:color="000000" w:fill="1F497D"/>
            <w:noWrap/>
            <w:vAlign w:val="center"/>
            <w:hideMark/>
          </w:tcPr>
          <w:p w:rsidR="00BF3ED7" w:rsidRPr="00BF3ED7" w:rsidRDefault="00BF3ED7" w:rsidP="00254844">
            <w:pPr>
              <w:keepNext/>
              <w:spacing w:after="0" w:line="240" w:lineRule="auto"/>
              <w:jc w:val="center"/>
              <w:rPr>
                <w:rFonts w:ascii="Calibri" w:eastAsia="Times New Roman" w:hAnsi="Calibri" w:cs="Times New Roman"/>
                <w:b/>
                <w:bCs/>
                <w:color w:val="FFFFFF"/>
              </w:rPr>
            </w:pPr>
            <w:r w:rsidRPr="00BF3ED7">
              <w:rPr>
                <w:rFonts w:ascii="Calibri" w:eastAsia="Times New Roman" w:hAnsi="Calibri" w:cs="Times New Roman"/>
                <w:b/>
                <w:bCs/>
                <w:color w:val="FFFFFF"/>
              </w:rPr>
              <w:t>Characteristic</w:t>
            </w:r>
          </w:p>
        </w:tc>
        <w:tc>
          <w:tcPr>
            <w:tcW w:w="2160" w:type="dxa"/>
            <w:tcBorders>
              <w:top w:val="single" w:sz="4" w:space="0" w:color="auto"/>
              <w:left w:val="nil"/>
              <w:bottom w:val="single" w:sz="4" w:space="0" w:color="auto"/>
              <w:right w:val="single" w:sz="4" w:space="0" w:color="FFFFFF"/>
            </w:tcBorders>
            <w:shd w:val="clear" w:color="000000" w:fill="1F497D"/>
            <w:vAlign w:val="center"/>
            <w:hideMark/>
          </w:tcPr>
          <w:p w:rsidR="00BF3ED7" w:rsidRPr="00BF3ED7" w:rsidRDefault="00BF3ED7" w:rsidP="00254844">
            <w:pPr>
              <w:keepNext/>
              <w:spacing w:after="0" w:line="240" w:lineRule="auto"/>
              <w:jc w:val="center"/>
              <w:rPr>
                <w:rFonts w:ascii="Calibri" w:eastAsia="Times New Roman" w:hAnsi="Calibri" w:cs="Times New Roman"/>
                <w:b/>
                <w:bCs/>
                <w:color w:val="FFFFFF"/>
              </w:rPr>
            </w:pPr>
            <w:r w:rsidRPr="00BF3ED7">
              <w:rPr>
                <w:rFonts w:ascii="Calibri" w:eastAsia="Times New Roman" w:hAnsi="Calibri" w:cs="Times New Roman"/>
                <w:b/>
                <w:bCs/>
                <w:color w:val="FFFFFF"/>
              </w:rPr>
              <w:t>Dually Enrolled Population as of 10-23-2012</w:t>
            </w:r>
          </w:p>
        </w:tc>
        <w:tc>
          <w:tcPr>
            <w:tcW w:w="1660" w:type="dxa"/>
            <w:tcBorders>
              <w:top w:val="single" w:sz="4" w:space="0" w:color="auto"/>
              <w:left w:val="nil"/>
              <w:bottom w:val="single" w:sz="4" w:space="0" w:color="auto"/>
              <w:right w:val="single" w:sz="4" w:space="0" w:color="FFFFFF"/>
            </w:tcBorders>
            <w:shd w:val="clear" w:color="000000" w:fill="1F497D"/>
            <w:vAlign w:val="center"/>
            <w:hideMark/>
          </w:tcPr>
          <w:p w:rsidR="00BF3ED7" w:rsidRPr="00BF3ED7" w:rsidRDefault="00BF3ED7" w:rsidP="00254844">
            <w:pPr>
              <w:keepNext/>
              <w:spacing w:after="0" w:line="240" w:lineRule="auto"/>
              <w:jc w:val="center"/>
              <w:rPr>
                <w:rFonts w:ascii="Calibri" w:eastAsia="Times New Roman" w:hAnsi="Calibri" w:cs="Times New Roman"/>
                <w:b/>
                <w:bCs/>
                <w:color w:val="FFFFFF"/>
              </w:rPr>
            </w:pPr>
            <w:r w:rsidRPr="00BF3ED7">
              <w:rPr>
                <w:rFonts w:ascii="Calibri" w:eastAsia="Times New Roman" w:hAnsi="Calibri" w:cs="Times New Roman"/>
                <w:b/>
                <w:bCs/>
                <w:color w:val="FFFFFF"/>
              </w:rPr>
              <w:t>Customers on SmartRate for two years</w:t>
            </w:r>
          </w:p>
        </w:tc>
        <w:tc>
          <w:tcPr>
            <w:tcW w:w="1460" w:type="dxa"/>
            <w:tcBorders>
              <w:top w:val="single" w:sz="4" w:space="0" w:color="auto"/>
              <w:left w:val="nil"/>
              <w:bottom w:val="single" w:sz="4" w:space="0" w:color="auto"/>
              <w:right w:val="single" w:sz="4" w:space="0" w:color="FFFFFF"/>
            </w:tcBorders>
            <w:shd w:val="clear" w:color="000000" w:fill="1F497D"/>
            <w:vAlign w:val="center"/>
            <w:hideMark/>
          </w:tcPr>
          <w:p w:rsidR="00BF3ED7" w:rsidRPr="00BF3ED7" w:rsidRDefault="00BF3ED7" w:rsidP="00254844">
            <w:pPr>
              <w:keepNext/>
              <w:spacing w:after="0" w:line="240" w:lineRule="auto"/>
              <w:jc w:val="center"/>
              <w:rPr>
                <w:rFonts w:ascii="Calibri" w:eastAsia="Times New Roman" w:hAnsi="Calibri" w:cs="Times New Roman"/>
                <w:b/>
                <w:bCs/>
                <w:color w:val="FFFFFF"/>
              </w:rPr>
            </w:pPr>
            <w:r w:rsidRPr="00BF3ED7">
              <w:rPr>
                <w:rFonts w:ascii="Calibri" w:eastAsia="Times New Roman" w:hAnsi="Calibri" w:cs="Times New Roman"/>
                <w:b/>
                <w:bCs/>
                <w:color w:val="FFFFFF"/>
              </w:rPr>
              <w:t>Control Group for 2011 Event Days</w:t>
            </w:r>
          </w:p>
        </w:tc>
        <w:tc>
          <w:tcPr>
            <w:tcW w:w="1540" w:type="dxa"/>
            <w:tcBorders>
              <w:top w:val="single" w:sz="4" w:space="0" w:color="auto"/>
              <w:left w:val="nil"/>
              <w:bottom w:val="single" w:sz="4" w:space="0" w:color="auto"/>
              <w:right w:val="single" w:sz="4" w:space="0" w:color="auto"/>
            </w:tcBorders>
            <w:shd w:val="clear" w:color="000000" w:fill="1F497D"/>
            <w:vAlign w:val="center"/>
            <w:hideMark/>
          </w:tcPr>
          <w:p w:rsidR="00BF3ED7" w:rsidRPr="00BF3ED7" w:rsidRDefault="00BF3ED7" w:rsidP="00254844">
            <w:pPr>
              <w:keepNext/>
              <w:spacing w:after="0" w:line="240" w:lineRule="auto"/>
              <w:jc w:val="center"/>
              <w:rPr>
                <w:rFonts w:ascii="Calibri" w:eastAsia="Times New Roman" w:hAnsi="Calibri" w:cs="Times New Roman"/>
                <w:b/>
                <w:bCs/>
                <w:color w:val="FFFFFF"/>
              </w:rPr>
            </w:pPr>
            <w:r w:rsidRPr="00BF3ED7">
              <w:rPr>
                <w:rFonts w:ascii="Calibri" w:eastAsia="Times New Roman" w:hAnsi="Calibri" w:cs="Times New Roman"/>
                <w:b/>
                <w:bCs/>
                <w:color w:val="FFFFFF"/>
              </w:rPr>
              <w:t>Control Group for 2012 Event Days</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Greater Bay Area</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40.9%</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40.9%</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40.7%</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40.9%</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Greater Fresno</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11.5%</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11.5%</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11.6%</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11.5%</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Kern</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5.1%</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5.1%</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5.1%</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5.1%</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Northern Coast</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6.2%</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6.2%</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6.2%</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6.2%</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Other</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15.0%</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15.0%</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15.0%</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15.0%</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Sierra</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12.4%</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12.4%</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12.4%</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12.4%</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Stockton</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8.9%</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8.9%</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9.0%</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8.9%</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Care</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7.0%</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7.0%</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6.9%</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254844">
            <w:pPr>
              <w:keepNext/>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6.9%</w:t>
            </w:r>
          </w:p>
        </w:tc>
      </w:tr>
      <w:tr w:rsidR="00BF3ED7" w:rsidRPr="00BF3ED7" w:rsidTr="00BF3ED7">
        <w:trPr>
          <w:trHeight w:val="300"/>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rsidR="00BF3ED7" w:rsidRPr="00BF3ED7" w:rsidRDefault="00BF3ED7" w:rsidP="00BF3ED7">
            <w:pPr>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kW from 2-7 PM</w:t>
            </w:r>
          </w:p>
        </w:tc>
        <w:tc>
          <w:tcPr>
            <w:tcW w:w="21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BF3ED7">
            <w:pPr>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1.90</w:t>
            </w:r>
          </w:p>
        </w:tc>
        <w:tc>
          <w:tcPr>
            <w:tcW w:w="16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BF3ED7">
            <w:pPr>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1.88</w:t>
            </w:r>
          </w:p>
        </w:tc>
        <w:tc>
          <w:tcPr>
            <w:tcW w:w="146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BF3ED7">
            <w:pPr>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1.79</w:t>
            </w:r>
          </w:p>
        </w:tc>
        <w:tc>
          <w:tcPr>
            <w:tcW w:w="1540" w:type="dxa"/>
            <w:tcBorders>
              <w:top w:val="nil"/>
              <w:left w:val="nil"/>
              <w:bottom w:val="single" w:sz="4" w:space="0" w:color="auto"/>
              <w:right w:val="single" w:sz="4" w:space="0" w:color="auto"/>
            </w:tcBorders>
            <w:shd w:val="clear" w:color="auto" w:fill="auto"/>
            <w:noWrap/>
            <w:vAlign w:val="center"/>
            <w:hideMark/>
          </w:tcPr>
          <w:p w:rsidR="00BF3ED7" w:rsidRPr="00BF3ED7" w:rsidRDefault="00BF3ED7" w:rsidP="00BF3ED7">
            <w:pPr>
              <w:spacing w:after="0" w:line="240" w:lineRule="auto"/>
              <w:jc w:val="center"/>
              <w:rPr>
                <w:rFonts w:ascii="Calibri" w:eastAsia="Times New Roman" w:hAnsi="Calibri" w:cs="Times New Roman"/>
                <w:color w:val="000000"/>
              </w:rPr>
            </w:pPr>
            <w:r w:rsidRPr="00BF3ED7">
              <w:rPr>
                <w:rFonts w:ascii="Calibri" w:eastAsia="Times New Roman" w:hAnsi="Calibri" w:cs="Times New Roman"/>
                <w:color w:val="000000"/>
              </w:rPr>
              <w:t>1.93</w:t>
            </w:r>
          </w:p>
        </w:tc>
      </w:tr>
    </w:tbl>
    <w:p w:rsidR="00BF3ED7" w:rsidRDefault="00BF3ED7" w:rsidP="007773AB">
      <w:pPr>
        <w:pStyle w:val="BodyParagraph"/>
      </w:pPr>
    </w:p>
    <w:p w:rsidR="009B04E3" w:rsidRDefault="009B04E3" w:rsidP="007773AB">
      <w:pPr>
        <w:pStyle w:val="BodyParagraph"/>
      </w:pPr>
      <w:r w:rsidRPr="00612923">
        <w:t>Figure</w:t>
      </w:r>
      <w:r>
        <w:t>s</w:t>
      </w:r>
      <w:r w:rsidRPr="00612923">
        <w:t xml:space="preserve"> </w:t>
      </w:r>
      <w:r>
        <w:t>C</w:t>
      </w:r>
      <w:r w:rsidRPr="00612923">
        <w:t>-1</w:t>
      </w:r>
      <w:r>
        <w:t xml:space="preserve"> and C-2 show</w:t>
      </w:r>
      <w:r w:rsidRPr="00612923">
        <w:t xml:space="preserve"> average hourly usage for both groups on hot, non-event days</w:t>
      </w:r>
      <w:r>
        <w:t>.</w:t>
      </w:r>
      <w:r w:rsidRPr="00612923">
        <w:t xml:space="preserve">  Over the event period (2 to 7 PM), usage is very similar between the two groups</w:t>
      </w:r>
      <w:r>
        <w:t xml:space="preserve">.  Because all four </w:t>
      </w:r>
      <w:r w:rsidRPr="00612923">
        <w:t>groups have similar u</w:t>
      </w:r>
      <w:r>
        <w:t>sage on hot non-event days,</w:t>
      </w:r>
      <w:r w:rsidRPr="00612923">
        <w:t xml:space="preserve"> it is likely that the control group’s usage is an accurate estimate of event day reference load.  </w:t>
      </w:r>
    </w:p>
    <w:p w:rsidR="009B04E3" w:rsidRDefault="009B04E3" w:rsidP="002C6227">
      <w:pPr>
        <w:pStyle w:val="TableFigureCaption"/>
      </w:pPr>
      <w:r>
        <w:lastRenderedPageBreak/>
        <w:t>Figure C-1</w:t>
      </w:r>
      <w:r w:rsidRPr="00612923">
        <w:t xml:space="preserve">: Average Usage on Hot, Non-event Days for </w:t>
      </w:r>
      <w:r w:rsidRPr="00612923">
        <w:br/>
      </w:r>
      <w:r>
        <w:t>the Current SmartRate-Only Population, Two-Year SmartRate-Only Population, and the 2011 and 2012 Control Groups</w:t>
      </w:r>
    </w:p>
    <w:p w:rsidR="00BF3ED7" w:rsidRDefault="00805EF3" w:rsidP="007773AB">
      <w:pPr>
        <w:pStyle w:val="BodyParagraph"/>
      </w:pPr>
      <w:r>
        <w:rPr>
          <w:noProof/>
        </w:rPr>
        <w:drawing>
          <wp:inline distT="0" distB="0" distL="0" distR="0">
            <wp:extent cx="6017260" cy="3712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7260" cy="3712845"/>
                    </a:xfrm>
                    <a:prstGeom prst="rect">
                      <a:avLst/>
                    </a:prstGeom>
                    <a:noFill/>
                  </pic:spPr>
                </pic:pic>
              </a:graphicData>
            </a:graphic>
          </wp:inline>
        </w:drawing>
      </w:r>
    </w:p>
    <w:p w:rsidR="009B04E3" w:rsidRDefault="009B04E3" w:rsidP="009B04E3">
      <w:pPr>
        <w:pStyle w:val="TableFigureCaption"/>
      </w:pPr>
      <w:r>
        <w:t>Figure C-2</w:t>
      </w:r>
      <w:r w:rsidRPr="00612923">
        <w:t xml:space="preserve">: Average Usage on Hot, Non-event Days for </w:t>
      </w:r>
      <w:r w:rsidRPr="00612923">
        <w:br/>
      </w:r>
      <w:r>
        <w:t xml:space="preserve">the Current SmartRate-Only Population, Two-Year </w:t>
      </w:r>
      <w:r w:rsidR="008739DA">
        <w:t>Dually-Enrolled</w:t>
      </w:r>
      <w:r>
        <w:t xml:space="preserve"> Population, and the 2011 and 2012 Control Groups</w:t>
      </w:r>
    </w:p>
    <w:p w:rsidR="00805EF3" w:rsidRDefault="00805EF3" w:rsidP="007773AB">
      <w:pPr>
        <w:pStyle w:val="BodyParagraph"/>
        <w:rPr>
          <w:highlight w:val="yellow"/>
        </w:rPr>
      </w:pPr>
      <w:r>
        <w:rPr>
          <w:noProof/>
        </w:rPr>
        <w:drawing>
          <wp:inline distT="0" distB="0" distL="0" distR="0">
            <wp:extent cx="5864860" cy="3286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4860" cy="3286125"/>
                    </a:xfrm>
                    <a:prstGeom prst="rect">
                      <a:avLst/>
                    </a:prstGeom>
                    <a:noFill/>
                  </pic:spPr>
                </pic:pic>
              </a:graphicData>
            </a:graphic>
          </wp:inline>
        </w:drawing>
      </w:r>
    </w:p>
    <w:p w:rsidR="007773AB" w:rsidRPr="002F609B" w:rsidRDefault="007773AB" w:rsidP="007773AB">
      <w:pPr>
        <w:pStyle w:val="BodyParagraph"/>
      </w:pPr>
      <w:r w:rsidRPr="002F609B">
        <w:lastRenderedPageBreak/>
        <w:t xml:space="preserve">These matched </w:t>
      </w:r>
      <w:r w:rsidR="009B04E3" w:rsidRPr="002F609B">
        <w:t xml:space="preserve">sample and </w:t>
      </w:r>
      <w:r w:rsidRPr="002F609B">
        <w:t xml:space="preserve">control groups were used to estimate a set of ex post estimates for 2011 and 2012 that represent what the October 2012 SmartRate population would have provided if they had been in the program the whole time.  These ex post estimates are </w:t>
      </w:r>
      <w:r w:rsidR="009B04E3" w:rsidRPr="002F609B">
        <w:t>shown in Table C-3 and Table C-4.</w:t>
      </w:r>
      <w:r w:rsidRPr="002F609B">
        <w:t xml:space="preserve">  </w:t>
      </w:r>
      <w:r w:rsidR="002F609B">
        <w:t xml:space="preserve">The impact estimates are similar to those in the Ex-Post analysis.  In the Ex-Post analysis, </w:t>
      </w:r>
      <w:r w:rsidR="00FC5578">
        <w:t xml:space="preserve">the average impact for </w:t>
      </w:r>
      <w:r w:rsidR="002F609B">
        <w:t xml:space="preserve">SmartRate-Only customers </w:t>
      </w:r>
      <w:r w:rsidR="00FC5578">
        <w:t>was 14% of their reference load.  The average impact for</w:t>
      </w:r>
      <w:r w:rsidR="002F609B">
        <w:t xml:space="preserve"> dually-enrolled customers </w:t>
      </w:r>
      <w:r w:rsidR="00FC5578">
        <w:t>was 25% of their reference load</w:t>
      </w:r>
      <w:r w:rsidR="002F609B">
        <w:t xml:space="preserve">.  In this analysis SmartRate-Only and dually-enrolled customers provided 12% and 25% event impacts, respectively.  </w:t>
      </w:r>
      <w:r w:rsidRPr="002F609B">
        <w:t>With these estimates in hand, the remaining steps for ex ante estimation were quite sim</w:t>
      </w:r>
      <w:r w:rsidR="00FC5578">
        <w:t>ilar to what was done in 2011.</w:t>
      </w:r>
    </w:p>
    <w:p w:rsidR="00280947" w:rsidRDefault="00280947" w:rsidP="00280947">
      <w:pPr>
        <w:pStyle w:val="TableFigureCaption"/>
      </w:pPr>
      <w:r>
        <w:t>Tabl</w:t>
      </w:r>
      <w:r w:rsidRPr="00612923">
        <w:t>e C-</w:t>
      </w:r>
      <w:r>
        <w:t>3</w:t>
      </w:r>
      <w:r w:rsidRPr="00612923">
        <w:t xml:space="preserve">: </w:t>
      </w:r>
      <w:r>
        <w:t>2011 and 2012 Event Impacts for SmartRate-Only Sample</w:t>
      </w:r>
    </w:p>
    <w:tbl>
      <w:tblPr>
        <w:tblW w:w="5569" w:type="dxa"/>
        <w:jc w:val="center"/>
        <w:tblInd w:w="93" w:type="dxa"/>
        <w:tblLook w:val="04A0"/>
      </w:tblPr>
      <w:tblGrid>
        <w:gridCol w:w="1275"/>
        <w:gridCol w:w="960"/>
        <w:gridCol w:w="960"/>
        <w:gridCol w:w="960"/>
        <w:gridCol w:w="1414"/>
      </w:tblGrid>
      <w:tr w:rsidR="002F609B" w:rsidRPr="002F609B" w:rsidTr="002F609B">
        <w:trPr>
          <w:trHeight w:val="900"/>
          <w:jc w:val="center"/>
        </w:trPr>
        <w:tc>
          <w:tcPr>
            <w:tcW w:w="1275"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2F609B" w:rsidRPr="002F609B" w:rsidRDefault="002F609B" w:rsidP="00254844">
            <w:pPr>
              <w:keepNext/>
              <w:spacing w:after="0" w:line="240" w:lineRule="auto"/>
              <w:jc w:val="center"/>
              <w:rPr>
                <w:rFonts w:ascii="Calibri" w:eastAsia="Times New Roman" w:hAnsi="Calibri" w:cs="Times New Roman"/>
                <w:b/>
                <w:bCs/>
                <w:color w:val="FFFFFF"/>
              </w:rPr>
            </w:pPr>
            <w:r w:rsidRPr="002F609B">
              <w:rPr>
                <w:rFonts w:ascii="Calibri" w:eastAsia="Times New Roman" w:hAnsi="Calibri" w:cs="Times New Roman"/>
                <w:b/>
                <w:bCs/>
                <w:color w:val="FFFFFF"/>
              </w:rPr>
              <w:t>Date</w:t>
            </w:r>
          </w:p>
        </w:tc>
        <w:tc>
          <w:tcPr>
            <w:tcW w:w="960" w:type="dxa"/>
            <w:tcBorders>
              <w:top w:val="single" w:sz="4" w:space="0" w:color="auto"/>
              <w:left w:val="nil"/>
              <w:bottom w:val="single" w:sz="4" w:space="0" w:color="auto"/>
              <w:right w:val="single" w:sz="4" w:space="0" w:color="FFFFFF"/>
            </w:tcBorders>
            <w:shd w:val="clear" w:color="000000" w:fill="1F497D"/>
            <w:vAlign w:val="center"/>
            <w:hideMark/>
          </w:tcPr>
          <w:p w:rsidR="002F609B" w:rsidRPr="002F609B" w:rsidRDefault="002F609B" w:rsidP="00254844">
            <w:pPr>
              <w:keepNext/>
              <w:spacing w:after="0" w:line="240" w:lineRule="auto"/>
              <w:jc w:val="center"/>
              <w:rPr>
                <w:rFonts w:ascii="Calibri" w:eastAsia="Times New Roman" w:hAnsi="Calibri" w:cs="Times New Roman"/>
                <w:b/>
                <w:bCs/>
                <w:color w:val="FFFFFF"/>
              </w:rPr>
            </w:pPr>
            <w:r w:rsidRPr="002F609B">
              <w:rPr>
                <w:rFonts w:ascii="Calibri" w:eastAsia="Times New Roman" w:hAnsi="Calibri" w:cs="Times New Roman"/>
                <w:b/>
                <w:bCs/>
                <w:color w:val="FFFFFF"/>
              </w:rPr>
              <w:t>Load without DR (kW)</w:t>
            </w:r>
          </w:p>
        </w:tc>
        <w:tc>
          <w:tcPr>
            <w:tcW w:w="960" w:type="dxa"/>
            <w:tcBorders>
              <w:top w:val="single" w:sz="4" w:space="0" w:color="auto"/>
              <w:left w:val="nil"/>
              <w:bottom w:val="single" w:sz="4" w:space="0" w:color="auto"/>
              <w:right w:val="single" w:sz="4" w:space="0" w:color="FFFFFF"/>
            </w:tcBorders>
            <w:shd w:val="clear" w:color="000000" w:fill="1F497D"/>
            <w:vAlign w:val="center"/>
            <w:hideMark/>
          </w:tcPr>
          <w:p w:rsidR="002F609B" w:rsidRPr="002F609B" w:rsidRDefault="002F609B" w:rsidP="00254844">
            <w:pPr>
              <w:keepNext/>
              <w:spacing w:after="0" w:line="240" w:lineRule="auto"/>
              <w:jc w:val="center"/>
              <w:rPr>
                <w:rFonts w:ascii="Calibri" w:eastAsia="Times New Roman" w:hAnsi="Calibri" w:cs="Times New Roman"/>
                <w:b/>
                <w:bCs/>
                <w:color w:val="FFFFFF"/>
              </w:rPr>
            </w:pPr>
            <w:r w:rsidRPr="002F609B">
              <w:rPr>
                <w:rFonts w:ascii="Calibri" w:eastAsia="Times New Roman" w:hAnsi="Calibri" w:cs="Times New Roman"/>
                <w:b/>
                <w:bCs/>
                <w:color w:val="FFFFFF"/>
              </w:rPr>
              <w:t>Impact (kW)</w:t>
            </w:r>
          </w:p>
        </w:tc>
        <w:tc>
          <w:tcPr>
            <w:tcW w:w="960" w:type="dxa"/>
            <w:tcBorders>
              <w:top w:val="single" w:sz="4" w:space="0" w:color="auto"/>
              <w:left w:val="nil"/>
              <w:bottom w:val="single" w:sz="4" w:space="0" w:color="auto"/>
              <w:right w:val="single" w:sz="4" w:space="0" w:color="FFFFFF"/>
            </w:tcBorders>
            <w:shd w:val="clear" w:color="000000" w:fill="1F497D"/>
            <w:vAlign w:val="center"/>
            <w:hideMark/>
          </w:tcPr>
          <w:p w:rsidR="002F609B" w:rsidRPr="002F609B" w:rsidRDefault="002F609B" w:rsidP="00254844">
            <w:pPr>
              <w:keepNext/>
              <w:spacing w:after="0" w:line="240" w:lineRule="auto"/>
              <w:jc w:val="center"/>
              <w:rPr>
                <w:rFonts w:ascii="Calibri" w:eastAsia="Times New Roman" w:hAnsi="Calibri" w:cs="Times New Roman"/>
                <w:b/>
                <w:bCs/>
                <w:color w:val="FFFFFF"/>
              </w:rPr>
            </w:pPr>
            <w:r w:rsidRPr="002F609B">
              <w:rPr>
                <w:rFonts w:ascii="Calibri" w:eastAsia="Times New Roman" w:hAnsi="Calibri" w:cs="Times New Roman"/>
                <w:b/>
                <w:bCs/>
                <w:color w:val="FFFFFF"/>
              </w:rPr>
              <w:t>Percent Impact</w:t>
            </w:r>
          </w:p>
        </w:tc>
        <w:tc>
          <w:tcPr>
            <w:tcW w:w="1414" w:type="dxa"/>
            <w:tcBorders>
              <w:top w:val="single" w:sz="4" w:space="0" w:color="auto"/>
              <w:left w:val="nil"/>
              <w:bottom w:val="single" w:sz="4" w:space="0" w:color="auto"/>
              <w:right w:val="single" w:sz="4" w:space="0" w:color="auto"/>
            </w:tcBorders>
            <w:shd w:val="clear" w:color="000000" w:fill="1F497D"/>
            <w:vAlign w:val="center"/>
            <w:hideMark/>
          </w:tcPr>
          <w:p w:rsidR="002F609B" w:rsidRPr="002F609B" w:rsidRDefault="002F609B" w:rsidP="00254844">
            <w:pPr>
              <w:keepNext/>
              <w:spacing w:after="0" w:line="240" w:lineRule="auto"/>
              <w:jc w:val="center"/>
              <w:rPr>
                <w:rFonts w:ascii="Calibri" w:eastAsia="Times New Roman" w:hAnsi="Calibri" w:cs="Times New Roman"/>
                <w:b/>
                <w:bCs/>
                <w:color w:val="FFFFFF"/>
              </w:rPr>
            </w:pPr>
            <w:r w:rsidRPr="002F609B">
              <w:rPr>
                <w:rFonts w:ascii="Calibri" w:eastAsia="Times New Roman" w:hAnsi="Calibri" w:cs="Times New Roman"/>
                <w:b/>
                <w:bCs/>
                <w:color w:val="FFFFFF"/>
              </w:rPr>
              <w:t>Temperature (</w:t>
            </w:r>
            <w:r w:rsidRPr="002F609B">
              <w:rPr>
                <w:rFonts w:ascii="Times New Roman" w:eastAsia="Times New Roman" w:hAnsi="Times New Roman" w:cs="Times New Roman"/>
                <w:b/>
                <w:bCs/>
                <w:color w:val="FFFFFF"/>
              </w:rPr>
              <w:t>º</w:t>
            </w:r>
            <w:r w:rsidRPr="002F609B">
              <w:rPr>
                <w:rFonts w:ascii="Calibri" w:eastAsia="Times New Roman" w:hAnsi="Calibri" w:cs="Times New Roman"/>
                <w:b/>
                <w:bCs/>
                <w:color w:val="FFFFFF"/>
              </w:rPr>
              <w:t>F)</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21-Jun-11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1.75</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0.26</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14.9%</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96</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22-Jun-11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0.21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12.5%</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88</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5-Jul-11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1.80</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0.28</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15.3%</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92</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6-Jul-11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1.77</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0.21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12.1%</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91</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28-Jul-11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1.50</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0.19</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12.5%</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87</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29-Jul-11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1.49</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0.18</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11.9%</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85</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17-Aug-11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1.33</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0.13</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10.1%</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84</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18-Aug-11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1.35</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8.8%</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84</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23-Aug-11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1.42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0.16</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11.5%</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91</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29-Aug-11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1.50</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0.17</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11.3%</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85</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2-Sep-11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1.41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0.16</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11.2%</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88</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6-Sep-11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1.35</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0.13</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9.3%</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88</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7-Sep-11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1.46</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0.16</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11.1%</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92</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8-Sep-11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1.36</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0.14</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10.4%</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84</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20-Sep-11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1.43</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0.17</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11.7%</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92</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9-Jul-12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1.43</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0.18</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12.7%</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85</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10-Jul-12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1.57</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0.21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13.5%</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91</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11-Jul-12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1.76</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0.27</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15.2%</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93</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23-Jul-12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0.16</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10.8%</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85</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4-Sep-12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1.29</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0.11</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8.4%</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85</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13-Sep-12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1.35</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0.14</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10.1%</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86</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14-Sep-12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1.34</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0.10</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7.2%</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84</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1-Oct-12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1.36</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0.17</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12.8%</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93</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2-Oct-12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1.42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0.18</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12.4%</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95</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3-Oct-12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1.32</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0.13</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9.7%</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88</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F609B">
            <w:pPr>
              <w:spacing w:after="0" w:line="240" w:lineRule="auto"/>
              <w:jc w:val="center"/>
              <w:rPr>
                <w:rFonts w:ascii="Calibri" w:eastAsia="Times New Roman" w:hAnsi="Calibri" w:cs="Times New Roman"/>
                <w:b/>
                <w:bCs/>
                <w:color w:val="000000"/>
              </w:rPr>
            </w:pPr>
            <w:r w:rsidRPr="002F609B">
              <w:rPr>
                <w:rFonts w:ascii="Calibri" w:eastAsia="Times New Roman" w:hAnsi="Calibri" w:cs="Times New Roman"/>
                <w:b/>
                <w:bCs/>
                <w:color w:val="000000"/>
              </w:rPr>
              <w:t>Avg.</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F609B">
            <w:pPr>
              <w:spacing w:after="0" w:line="240" w:lineRule="auto"/>
              <w:jc w:val="center"/>
              <w:rPr>
                <w:rFonts w:ascii="Calibri" w:eastAsia="Times New Roman" w:hAnsi="Calibri" w:cs="Times New Roman"/>
                <w:b/>
                <w:bCs/>
                <w:color w:val="000000"/>
              </w:rPr>
            </w:pPr>
            <w:r w:rsidRPr="002F609B">
              <w:rPr>
                <w:rFonts w:ascii="Calibri" w:eastAsia="Times New Roman" w:hAnsi="Calibri" w:cs="Times New Roman"/>
                <w:b/>
                <w:bCs/>
                <w:color w:val="000000"/>
              </w:rPr>
              <w:t>1.48</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F609B">
            <w:pPr>
              <w:spacing w:after="0" w:line="240" w:lineRule="auto"/>
              <w:jc w:val="center"/>
              <w:rPr>
                <w:rFonts w:ascii="Calibri" w:eastAsia="Times New Roman" w:hAnsi="Calibri" w:cs="Times New Roman"/>
                <w:b/>
                <w:bCs/>
                <w:color w:val="000000"/>
              </w:rPr>
            </w:pPr>
            <w:r w:rsidRPr="002F609B">
              <w:rPr>
                <w:rFonts w:ascii="Calibri" w:eastAsia="Times New Roman" w:hAnsi="Calibri" w:cs="Times New Roman"/>
                <w:b/>
                <w:bCs/>
                <w:color w:val="000000"/>
              </w:rPr>
              <w:t>0.17</w:t>
            </w:r>
          </w:p>
        </w:tc>
        <w:tc>
          <w:tcPr>
            <w:tcW w:w="96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F609B">
            <w:pPr>
              <w:spacing w:after="0" w:line="240" w:lineRule="auto"/>
              <w:jc w:val="center"/>
              <w:rPr>
                <w:rFonts w:ascii="Calibri" w:eastAsia="Times New Roman" w:hAnsi="Calibri" w:cs="Times New Roman"/>
                <w:b/>
                <w:bCs/>
                <w:color w:val="000000"/>
              </w:rPr>
            </w:pPr>
            <w:r w:rsidRPr="002F609B">
              <w:rPr>
                <w:rFonts w:ascii="Calibri" w:eastAsia="Times New Roman" w:hAnsi="Calibri" w:cs="Times New Roman"/>
                <w:b/>
                <w:bCs/>
                <w:color w:val="000000"/>
              </w:rPr>
              <w:t>12%</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F609B">
            <w:pPr>
              <w:spacing w:after="0" w:line="240" w:lineRule="auto"/>
              <w:jc w:val="center"/>
              <w:rPr>
                <w:rFonts w:ascii="Calibri" w:eastAsia="Times New Roman" w:hAnsi="Calibri" w:cs="Times New Roman"/>
                <w:b/>
                <w:bCs/>
                <w:color w:val="000000"/>
              </w:rPr>
            </w:pPr>
            <w:r w:rsidRPr="002F609B">
              <w:rPr>
                <w:rFonts w:ascii="Calibri" w:eastAsia="Times New Roman" w:hAnsi="Calibri" w:cs="Times New Roman"/>
                <w:b/>
                <w:bCs/>
                <w:color w:val="000000"/>
              </w:rPr>
              <w:t>88</w:t>
            </w:r>
          </w:p>
        </w:tc>
      </w:tr>
    </w:tbl>
    <w:p w:rsidR="002F609B" w:rsidRPr="002F609B" w:rsidRDefault="002F609B" w:rsidP="002F609B">
      <w:pPr>
        <w:pStyle w:val="BodyParagraph"/>
      </w:pPr>
    </w:p>
    <w:p w:rsidR="00280947" w:rsidRDefault="00280947" w:rsidP="00280947">
      <w:pPr>
        <w:pStyle w:val="TableFigureCaption"/>
      </w:pPr>
    </w:p>
    <w:p w:rsidR="007773AB" w:rsidRDefault="00280947" w:rsidP="00280947">
      <w:pPr>
        <w:pStyle w:val="TableFigureCaption"/>
      </w:pPr>
      <w:r>
        <w:t>Tabl</w:t>
      </w:r>
      <w:r w:rsidRPr="00612923">
        <w:t>e C-</w:t>
      </w:r>
      <w:r>
        <w:t>4</w:t>
      </w:r>
      <w:r w:rsidRPr="00612923">
        <w:t xml:space="preserve">: </w:t>
      </w:r>
      <w:r>
        <w:t xml:space="preserve">2011 and 2012 Event Impacts for </w:t>
      </w:r>
      <w:r w:rsidR="002F609B">
        <w:t>Dually-Enrolled</w:t>
      </w:r>
      <w:r>
        <w:t xml:space="preserve"> Sample</w:t>
      </w:r>
    </w:p>
    <w:tbl>
      <w:tblPr>
        <w:tblW w:w="5421" w:type="dxa"/>
        <w:jc w:val="center"/>
        <w:tblInd w:w="93" w:type="dxa"/>
        <w:tblLook w:val="04A0"/>
      </w:tblPr>
      <w:tblGrid>
        <w:gridCol w:w="1275"/>
        <w:gridCol w:w="941"/>
        <w:gridCol w:w="871"/>
        <w:gridCol w:w="920"/>
        <w:gridCol w:w="1414"/>
      </w:tblGrid>
      <w:tr w:rsidR="002F609B" w:rsidRPr="002F609B" w:rsidTr="002F609B">
        <w:trPr>
          <w:trHeight w:val="900"/>
          <w:jc w:val="center"/>
        </w:trPr>
        <w:tc>
          <w:tcPr>
            <w:tcW w:w="1275" w:type="dxa"/>
            <w:tcBorders>
              <w:top w:val="single" w:sz="4" w:space="0" w:color="auto"/>
              <w:left w:val="single" w:sz="4" w:space="0" w:color="auto"/>
              <w:bottom w:val="single" w:sz="4" w:space="0" w:color="auto"/>
              <w:right w:val="single" w:sz="4" w:space="0" w:color="FFFFFF"/>
            </w:tcBorders>
            <w:shd w:val="clear" w:color="000000" w:fill="1F497D"/>
            <w:vAlign w:val="center"/>
            <w:hideMark/>
          </w:tcPr>
          <w:p w:rsidR="002F609B" w:rsidRPr="002F609B" w:rsidRDefault="002F609B" w:rsidP="00254844">
            <w:pPr>
              <w:keepNext/>
              <w:spacing w:after="0" w:line="240" w:lineRule="auto"/>
              <w:jc w:val="center"/>
              <w:rPr>
                <w:rFonts w:ascii="Calibri" w:eastAsia="Times New Roman" w:hAnsi="Calibri" w:cs="Times New Roman"/>
                <w:b/>
                <w:bCs/>
                <w:color w:val="FFFFFF"/>
              </w:rPr>
            </w:pPr>
            <w:r w:rsidRPr="002F609B">
              <w:rPr>
                <w:rFonts w:ascii="Calibri" w:eastAsia="Times New Roman" w:hAnsi="Calibri" w:cs="Times New Roman"/>
                <w:b/>
                <w:bCs/>
                <w:color w:val="FFFFFF"/>
              </w:rPr>
              <w:t>Date</w:t>
            </w:r>
          </w:p>
        </w:tc>
        <w:tc>
          <w:tcPr>
            <w:tcW w:w="941" w:type="dxa"/>
            <w:tcBorders>
              <w:top w:val="single" w:sz="4" w:space="0" w:color="auto"/>
              <w:left w:val="nil"/>
              <w:bottom w:val="single" w:sz="4" w:space="0" w:color="auto"/>
              <w:right w:val="single" w:sz="4" w:space="0" w:color="FFFFFF"/>
            </w:tcBorders>
            <w:shd w:val="clear" w:color="000000" w:fill="1F497D"/>
            <w:vAlign w:val="center"/>
            <w:hideMark/>
          </w:tcPr>
          <w:p w:rsidR="002F609B" w:rsidRPr="002F609B" w:rsidRDefault="002F609B" w:rsidP="00254844">
            <w:pPr>
              <w:keepNext/>
              <w:spacing w:after="0" w:line="240" w:lineRule="auto"/>
              <w:jc w:val="center"/>
              <w:rPr>
                <w:rFonts w:ascii="Calibri" w:eastAsia="Times New Roman" w:hAnsi="Calibri" w:cs="Times New Roman"/>
                <w:b/>
                <w:bCs/>
                <w:color w:val="FFFFFF"/>
              </w:rPr>
            </w:pPr>
            <w:r w:rsidRPr="002F609B">
              <w:rPr>
                <w:rFonts w:ascii="Calibri" w:eastAsia="Times New Roman" w:hAnsi="Calibri" w:cs="Times New Roman"/>
                <w:b/>
                <w:bCs/>
                <w:color w:val="FFFFFF"/>
              </w:rPr>
              <w:t>Load without DR (kW)</w:t>
            </w:r>
          </w:p>
        </w:tc>
        <w:tc>
          <w:tcPr>
            <w:tcW w:w="871" w:type="dxa"/>
            <w:tcBorders>
              <w:top w:val="single" w:sz="4" w:space="0" w:color="auto"/>
              <w:left w:val="nil"/>
              <w:bottom w:val="single" w:sz="4" w:space="0" w:color="auto"/>
              <w:right w:val="single" w:sz="4" w:space="0" w:color="FFFFFF"/>
            </w:tcBorders>
            <w:shd w:val="clear" w:color="000000" w:fill="1F497D"/>
            <w:vAlign w:val="center"/>
            <w:hideMark/>
          </w:tcPr>
          <w:p w:rsidR="002F609B" w:rsidRPr="002F609B" w:rsidRDefault="002F609B" w:rsidP="00254844">
            <w:pPr>
              <w:keepNext/>
              <w:spacing w:after="0" w:line="240" w:lineRule="auto"/>
              <w:jc w:val="center"/>
              <w:rPr>
                <w:rFonts w:ascii="Calibri" w:eastAsia="Times New Roman" w:hAnsi="Calibri" w:cs="Times New Roman"/>
                <w:b/>
                <w:bCs/>
                <w:color w:val="FFFFFF"/>
              </w:rPr>
            </w:pPr>
            <w:r w:rsidRPr="002F609B">
              <w:rPr>
                <w:rFonts w:ascii="Calibri" w:eastAsia="Times New Roman" w:hAnsi="Calibri" w:cs="Times New Roman"/>
                <w:b/>
                <w:bCs/>
                <w:color w:val="FFFFFF"/>
              </w:rPr>
              <w:t>Impact (kW)</w:t>
            </w:r>
          </w:p>
        </w:tc>
        <w:tc>
          <w:tcPr>
            <w:tcW w:w="920" w:type="dxa"/>
            <w:tcBorders>
              <w:top w:val="single" w:sz="4" w:space="0" w:color="auto"/>
              <w:left w:val="nil"/>
              <w:bottom w:val="single" w:sz="4" w:space="0" w:color="auto"/>
              <w:right w:val="single" w:sz="4" w:space="0" w:color="FFFFFF"/>
            </w:tcBorders>
            <w:shd w:val="clear" w:color="000000" w:fill="1F497D"/>
            <w:vAlign w:val="center"/>
            <w:hideMark/>
          </w:tcPr>
          <w:p w:rsidR="002F609B" w:rsidRPr="002F609B" w:rsidRDefault="002F609B" w:rsidP="00254844">
            <w:pPr>
              <w:keepNext/>
              <w:spacing w:after="0" w:line="240" w:lineRule="auto"/>
              <w:jc w:val="center"/>
              <w:rPr>
                <w:rFonts w:ascii="Calibri" w:eastAsia="Times New Roman" w:hAnsi="Calibri" w:cs="Times New Roman"/>
                <w:b/>
                <w:bCs/>
                <w:color w:val="FFFFFF"/>
              </w:rPr>
            </w:pPr>
            <w:r w:rsidRPr="002F609B">
              <w:rPr>
                <w:rFonts w:ascii="Calibri" w:eastAsia="Times New Roman" w:hAnsi="Calibri" w:cs="Times New Roman"/>
                <w:b/>
                <w:bCs/>
                <w:color w:val="FFFFFF"/>
              </w:rPr>
              <w:t>Percent Impact</w:t>
            </w:r>
          </w:p>
        </w:tc>
        <w:tc>
          <w:tcPr>
            <w:tcW w:w="1414" w:type="dxa"/>
            <w:tcBorders>
              <w:top w:val="single" w:sz="4" w:space="0" w:color="auto"/>
              <w:left w:val="nil"/>
              <w:bottom w:val="single" w:sz="4" w:space="0" w:color="auto"/>
              <w:right w:val="single" w:sz="4" w:space="0" w:color="auto"/>
            </w:tcBorders>
            <w:shd w:val="clear" w:color="000000" w:fill="1F497D"/>
            <w:vAlign w:val="center"/>
            <w:hideMark/>
          </w:tcPr>
          <w:p w:rsidR="002F609B" w:rsidRPr="002F609B" w:rsidRDefault="002F609B" w:rsidP="00254844">
            <w:pPr>
              <w:keepNext/>
              <w:spacing w:after="0" w:line="240" w:lineRule="auto"/>
              <w:jc w:val="center"/>
              <w:rPr>
                <w:rFonts w:ascii="Calibri" w:eastAsia="Times New Roman" w:hAnsi="Calibri" w:cs="Times New Roman"/>
                <w:b/>
                <w:bCs/>
                <w:color w:val="FFFFFF"/>
              </w:rPr>
            </w:pPr>
            <w:r w:rsidRPr="002F609B">
              <w:rPr>
                <w:rFonts w:ascii="Calibri" w:eastAsia="Times New Roman" w:hAnsi="Calibri" w:cs="Times New Roman"/>
                <w:b/>
                <w:bCs/>
                <w:color w:val="FFFFFF"/>
              </w:rPr>
              <w:t>Temperature (</w:t>
            </w:r>
            <w:r w:rsidRPr="002F609B">
              <w:rPr>
                <w:rFonts w:ascii="Times New Roman" w:eastAsia="Times New Roman" w:hAnsi="Times New Roman" w:cs="Times New Roman"/>
                <w:b/>
                <w:bCs/>
                <w:color w:val="FFFFFF"/>
              </w:rPr>
              <w:t>º</w:t>
            </w:r>
            <w:r w:rsidRPr="002F609B">
              <w:rPr>
                <w:rFonts w:ascii="Calibri" w:eastAsia="Times New Roman" w:hAnsi="Calibri" w:cs="Times New Roman"/>
                <w:b/>
                <w:bCs/>
                <w:color w:val="FFFFFF"/>
              </w:rPr>
              <w:t>F)</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21-Jun-11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2.18</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0.53</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24.4%</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98</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22-Jun-11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2.06</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0.48</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23.1%</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91</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5-Jul-11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2.20</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0.48</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22.0%</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95</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6-Jul-11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2.18</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0.43</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19.9%</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94</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28-Jul-11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1.80</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0.44</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24.4%</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90</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29-Jul-11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1.75</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0.40</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23.0%</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87</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17-Aug-11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1.57</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0.34</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21.9%</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87</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18-Aug-11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1.56</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0.33</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20.8%</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87</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23-Aug-11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1.71</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0.44</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25.9%</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94</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29-Aug-11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1.78</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0.49</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27.3%</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87</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2-Sep-11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1.68</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0.38</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22.5%</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92</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6-Sep-11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1.61</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0.39</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24.3%</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91</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7-Sep-11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1.77</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0.41</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23.5%</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94</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8-Sep-11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1.60</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0.37</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23.0%</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88</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20-Sep-11</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1.77</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0.47</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26.2%</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94</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9-Jul-12</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1.71</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0.50</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28.9%</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88</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10-Jul-12</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1.93</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0.54</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27.8%</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95</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11-Jul-12</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2.27</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0.69</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30.2%</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98</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23-Jul-12</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1.80</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0.41</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22.6%</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87</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4-Sep-12</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1.51</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0.38</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25.0%</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88</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13-Sep-12</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1.59</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0.38</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24.2%</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89</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14-Sep-12</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1.55</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0.35</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22.5%</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87</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1-Oct-12</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1.74</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0.60</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34.3%</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95</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2-Oct-12</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1.79</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0.57</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32.0%</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96</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3-Oct-12</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1.58</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0.38</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24.0%</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54844">
            <w:pPr>
              <w:keepNext/>
              <w:spacing w:after="0" w:line="240" w:lineRule="auto"/>
              <w:jc w:val="center"/>
              <w:rPr>
                <w:rFonts w:ascii="Calibri" w:eastAsia="Times New Roman" w:hAnsi="Calibri" w:cs="Times New Roman"/>
                <w:color w:val="000000"/>
              </w:rPr>
            </w:pPr>
            <w:r w:rsidRPr="002F609B">
              <w:rPr>
                <w:rFonts w:ascii="Calibri" w:eastAsia="Times New Roman" w:hAnsi="Calibri" w:cs="Times New Roman"/>
                <w:color w:val="000000"/>
              </w:rPr>
              <w:t>90</w:t>
            </w:r>
          </w:p>
        </w:tc>
      </w:tr>
      <w:tr w:rsidR="002F609B" w:rsidRPr="002F609B" w:rsidTr="002F609B">
        <w:trPr>
          <w:trHeight w:val="300"/>
          <w:jc w:val="center"/>
        </w:trPr>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2F609B" w:rsidRPr="002F609B" w:rsidRDefault="002F609B" w:rsidP="002F609B">
            <w:pPr>
              <w:spacing w:after="0" w:line="240" w:lineRule="auto"/>
              <w:jc w:val="center"/>
              <w:rPr>
                <w:rFonts w:ascii="Calibri" w:eastAsia="Times New Roman" w:hAnsi="Calibri" w:cs="Times New Roman"/>
                <w:b/>
                <w:bCs/>
                <w:color w:val="000000"/>
              </w:rPr>
            </w:pPr>
            <w:r w:rsidRPr="002F609B">
              <w:rPr>
                <w:rFonts w:ascii="Calibri" w:eastAsia="Times New Roman" w:hAnsi="Calibri" w:cs="Times New Roman"/>
                <w:b/>
                <w:bCs/>
                <w:color w:val="000000"/>
              </w:rPr>
              <w:t>Avg.</w:t>
            </w:r>
          </w:p>
        </w:tc>
        <w:tc>
          <w:tcPr>
            <w:tcW w:w="94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F609B">
            <w:pPr>
              <w:spacing w:after="0" w:line="240" w:lineRule="auto"/>
              <w:jc w:val="center"/>
              <w:rPr>
                <w:rFonts w:ascii="Calibri" w:eastAsia="Times New Roman" w:hAnsi="Calibri" w:cs="Times New Roman"/>
                <w:b/>
                <w:bCs/>
                <w:color w:val="000000"/>
              </w:rPr>
            </w:pPr>
            <w:r w:rsidRPr="002F609B">
              <w:rPr>
                <w:rFonts w:ascii="Calibri" w:eastAsia="Times New Roman" w:hAnsi="Calibri" w:cs="Times New Roman"/>
                <w:b/>
                <w:bCs/>
                <w:color w:val="000000"/>
              </w:rPr>
              <w:t>1.79</w:t>
            </w:r>
          </w:p>
        </w:tc>
        <w:tc>
          <w:tcPr>
            <w:tcW w:w="871"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F609B">
            <w:pPr>
              <w:spacing w:after="0" w:line="240" w:lineRule="auto"/>
              <w:jc w:val="center"/>
              <w:rPr>
                <w:rFonts w:ascii="Calibri" w:eastAsia="Times New Roman" w:hAnsi="Calibri" w:cs="Times New Roman"/>
                <w:b/>
                <w:bCs/>
                <w:color w:val="000000"/>
              </w:rPr>
            </w:pPr>
            <w:r w:rsidRPr="002F609B">
              <w:rPr>
                <w:rFonts w:ascii="Calibri" w:eastAsia="Times New Roman" w:hAnsi="Calibri" w:cs="Times New Roman"/>
                <w:b/>
                <w:bCs/>
                <w:color w:val="000000"/>
              </w:rPr>
              <w:t>0.45</w:t>
            </w:r>
          </w:p>
        </w:tc>
        <w:tc>
          <w:tcPr>
            <w:tcW w:w="920"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F609B">
            <w:pPr>
              <w:spacing w:after="0" w:line="240" w:lineRule="auto"/>
              <w:jc w:val="center"/>
              <w:rPr>
                <w:rFonts w:ascii="Calibri" w:eastAsia="Times New Roman" w:hAnsi="Calibri" w:cs="Times New Roman"/>
                <w:b/>
                <w:bCs/>
                <w:color w:val="000000"/>
              </w:rPr>
            </w:pPr>
            <w:r w:rsidRPr="002F609B">
              <w:rPr>
                <w:rFonts w:ascii="Calibri" w:eastAsia="Times New Roman" w:hAnsi="Calibri" w:cs="Times New Roman"/>
                <w:b/>
                <w:bCs/>
                <w:color w:val="000000"/>
              </w:rPr>
              <w:t>25%</w:t>
            </w:r>
          </w:p>
        </w:tc>
        <w:tc>
          <w:tcPr>
            <w:tcW w:w="1414" w:type="dxa"/>
            <w:tcBorders>
              <w:top w:val="nil"/>
              <w:left w:val="nil"/>
              <w:bottom w:val="single" w:sz="4" w:space="0" w:color="auto"/>
              <w:right w:val="single" w:sz="4" w:space="0" w:color="auto"/>
            </w:tcBorders>
            <w:shd w:val="clear" w:color="auto" w:fill="auto"/>
            <w:noWrap/>
            <w:vAlign w:val="center"/>
            <w:hideMark/>
          </w:tcPr>
          <w:p w:rsidR="002F609B" w:rsidRPr="002F609B" w:rsidRDefault="002F609B" w:rsidP="002F609B">
            <w:pPr>
              <w:spacing w:after="0" w:line="240" w:lineRule="auto"/>
              <w:jc w:val="center"/>
              <w:rPr>
                <w:rFonts w:ascii="Calibri" w:eastAsia="Times New Roman" w:hAnsi="Calibri" w:cs="Times New Roman"/>
                <w:b/>
                <w:bCs/>
                <w:color w:val="000000"/>
              </w:rPr>
            </w:pPr>
            <w:r w:rsidRPr="002F609B">
              <w:rPr>
                <w:rFonts w:ascii="Calibri" w:eastAsia="Times New Roman" w:hAnsi="Calibri" w:cs="Times New Roman"/>
                <w:b/>
                <w:bCs/>
                <w:color w:val="000000"/>
              </w:rPr>
              <w:t>91</w:t>
            </w:r>
          </w:p>
        </w:tc>
      </w:tr>
    </w:tbl>
    <w:p w:rsidR="00280947" w:rsidRDefault="00280947" w:rsidP="007773AB">
      <w:pPr>
        <w:pStyle w:val="BodyParagraph"/>
        <w:rPr>
          <w:highlight w:val="yellow"/>
        </w:rPr>
      </w:pPr>
    </w:p>
    <w:p w:rsidR="00B56C0C" w:rsidRDefault="00B56C0C" w:rsidP="00740C17">
      <w:pPr>
        <w:pStyle w:val="BodyParagraph"/>
      </w:pPr>
    </w:p>
    <w:p w:rsidR="00740C17" w:rsidRPr="00860A9C" w:rsidRDefault="00740C17" w:rsidP="00860A9C">
      <w:pPr>
        <w:pStyle w:val="BodyParagraph"/>
      </w:pPr>
    </w:p>
    <w:p w:rsidR="00D508AD" w:rsidRPr="00612923" w:rsidRDefault="00D508AD" w:rsidP="00000EEA">
      <w:pPr>
        <w:pStyle w:val="AppendixHeading"/>
        <w:numPr>
          <w:ilvl w:val="0"/>
          <w:numId w:val="0"/>
        </w:numPr>
        <w:rPr>
          <w:rFonts w:ascii="Arial Bold" w:hAnsi="Arial Bold"/>
          <w:color w:val="433B67"/>
        </w:rPr>
      </w:pPr>
    </w:p>
    <w:sectPr w:rsidR="00D508AD" w:rsidRPr="00612923" w:rsidSect="00D508AD">
      <w:headerReference w:type="default" r:id="rId6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2C20" w:rsidRDefault="002C2C20" w:rsidP="00DB35F9">
      <w:pPr>
        <w:spacing w:after="0" w:line="240" w:lineRule="auto"/>
      </w:pPr>
      <w:r>
        <w:separator/>
      </w:r>
    </w:p>
  </w:endnote>
  <w:endnote w:type="continuationSeparator" w:id="0">
    <w:p w:rsidR="002C2C20" w:rsidRDefault="002C2C20" w:rsidP="00DB35F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Book">
    <w:altName w:val="Corbel"/>
    <w:panose1 w:val="020B05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TitilliumText22L Xb">
    <w:altName w:val="Arial"/>
    <w:panose1 w:val="00000000000000000000"/>
    <w:charset w:val="00"/>
    <w:family w:val="modern"/>
    <w:notTrueType/>
    <w:pitch w:val="variable"/>
    <w:sig w:usb0="00000001" w:usb1="0000004B" w:usb2="00000000" w:usb3="00000000" w:csb0="00000193" w:csb1="00000000"/>
  </w:font>
  <w:font w:name="Arial Bold">
    <w:panose1 w:val="020B0704020202020204"/>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2C2C20" w:rsidP="002C5BF9">
    <w:pPr>
      <w:pStyle w:val="Footer"/>
      <w:jc w:val="right"/>
      <w:rPr>
        <w:rFonts w:ascii="TitilliumText22L Xb" w:eastAsiaTheme="minorHAnsi" w:hAnsi="TitilliumText22L Xb" w:cstheme="minorBidi"/>
        <w:szCs w:val="22"/>
      </w:rPr>
    </w:pPr>
    <w:r>
      <w:rPr>
        <w:rFonts w:ascii="TitilliumText22L Xb" w:hAnsi="TitilliumText22L Xb"/>
        <w:noProof/>
      </w:rPr>
      <w:drawing>
        <wp:anchor distT="0" distB="0" distL="114300" distR="114300" simplePos="0" relativeHeight="251662336" behindDoc="0" locked="0" layoutInCell="1" allowOverlap="1">
          <wp:simplePos x="0" y="0"/>
          <wp:positionH relativeFrom="column">
            <wp:posOffset>-135496</wp:posOffset>
          </wp:positionH>
          <wp:positionV relativeFrom="paragraph">
            <wp:posOffset>-118682</wp:posOffset>
          </wp:positionV>
          <wp:extent cx="2080206" cy="425002"/>
          <wp:effectExtent l="19050" t="0" r="0" b="0"/>
          <wp:wrapNone/>
          <wp:docPr id="3" name="Picture 3"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C Logo NEW PURPLE 2007"/>
                  <pic:cNvPicPr>
                    <a:picLocks noChangeAspect="1" noChangeArrowheads="1"/>
                  </pic:cNvPicPr>
                </pic:nvPicPr>
                <pic:blipFill>
                  <a:blip r:embed="rId1"/>
                  <a:srcRect/>
                  <a:stretch>
                    <a:fillRect/>
                  </a:stretch>
                </pic:blipFill>
                <pic:spPr bwMode="auto">
                  <a:xfrm>
                    <a:off x="0" y="0"/>
                    <a:ext cx="2080206" cy="425002"/>
                  </a:xfrm>
                  <a:prstGeom prst="rect">
                    <a:avLst/>
                  </a:prstGeom>
                  <a:noFill/>
                </pic:spPr>
              </pic:pic>
            </a:graphicData>
          </a:graphic>
        </wp:anchor>
      </w:drawing>
    </w:r>
    <w:sdt>
      <w:sdtPr>
        <w:rPr>
          <w:rFonts w:ascii="TitilliumText22L Xb" w:hAnsi="TitilliumText22L Xb"/>
        </w:rPr>
        <w:id w:val="18682042"/>
        <w:docPartObj>
          <w:docPartGallery w:val="Page Numbers (Bottom of Page)"/>
          <w:docPartUnique/>
        </w:docPartObj>
      </w:sdtPr>
      <w:sdtContent>
        <w:r w:rsidR="00071D48" w:rsidRPr="00344C3B">
          <w:rPr>
            <w:rFonts w:ascii="Arial Black" w:hAnsi="Arial Black"/>
            <w:color w:val="808080" w:themeColor="background1" w:themeShade="80"/>
          </w:rPr>
          <w:fldChar w:fldCharType="begin"/>
        </w:r>
        <w:r w:rsidRPr="00344C3B">
          <w:rPr>
            <w:rFonts w:ascii="Arial Black" w:hAnsi="Arial Black"/>
            <w:color w:val="808080" w:themeColor="background1" w:themeShade="80"/>
          </w:rPr>
          <w:instrText xml:space="preserve"> PAGE   \* MERGEFORMAT </w:instrText>
        </w:r>
        <w:r w:rsidR="00071D48" w:rsidRPr="00344C3B">
          <w:rPr>
            <w:rFonts w:ascii="Arial Black" w:hAnsi="Arial Black"/>
            <w:color w:val="808080" w:themeColor="background1" w:themeShade="80"/>
          </w:rPr>
          <w:fldChar w:fldCharType="separate"/>
        </w:r>
        <w:r>
          <w:rPr>
            <w:rFonts w:ascii="Arial Black" w:hAnsi="Arial Black"/>
            <w:noProof/>
            <w:color w:val="808080" w:themeColor="background1" w:themeShade="80"/>
          </w:rPr>
          <w:t>6</w:t>
        </w:r>
        <w:r w:rsidR="00071D48" w:rsidRPr="00344C3B">
          <w:rPr>
            <w:rFonts w:ascii="Arial Black" w:hAnsi="Arial Black"/>
            <w:color w:val="808080" w:themeColor="background1" w:themeShade="80"/>
          </w:rPr>
          <w:fldChar w:fldCharType="end"/>
        </w:r>
      </w:sdtContent>
    </w:sdt>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0318"/>
      <w:docPartObj>
        <w:docPartGallery w:val="Page Numbers (Bottom of Page)"/>
        <w:docPartUnique/>
      </w:docPartObj>
    </w:sdtPr>
    <w:sdtContent>
      <w:p w:rsidR="002C2C20" w:rsidRDefault="00071D48" w:rsidP="00DB35F9">
        <w:pPr>
          <w:pStyle w:val="Footer"/>
          <w:jc w:val="right"/>
        </w:pPr>
      </w:p>
    </w:sdtContent>
  </w:sdt>
  <w:p w:rsidR="002C2C20" w:rsidRDefault="002C2C20">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Pr="00321715" w:rsidRDefault="002C2C20" w:rsidP="00B50663">
    <w:pPr>
      <w:pStyle w:val="Footer"/>
      <w:jc w:val="right"/>
      <w:rPr>
        <w:sz w:val="20"/>
        <w:szCs w:val="20"/>
      </w:rPr>
    </w:pPr>
  </w:p>
  <w:p w:rsidR="002C2C20" w:rsidRDefault="002C2C20">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tilliumText22L Xb" w:hAnsi="TitilliumText22L Xb"/>
      </w:rPr>
      <w:id w:val="17316703"/>
      <w:docPartObj>
        <w:docPartGallery w:val="Page Numbers (Bottom of Page)"/>
        <w:docPartUnique/>
      </w:docPartObj>
    </w:sdtPr>
    <w:sdtContent>
      <w:p w:rsidR="002C2C20" w:rsidRPr="0036226B" w:rsidRDefault="002C2C20" w:rsidP="00DB35F9">
        <w:pPr>
          <w:pStyle w:val="Footer"/>
          <w:jc w:val="right"/>
          <w:rPr>
            <w:rFonts w:ascii="TitilliumText22L Xb" w:hAnsi="TitilliumText22L Xb"/>
          </w:rPr>
        </w:pPr>
        <w:r w:rsidRPr="00344C3B">
          <w:rPr>
            <w:rFonts w:ascii="Arial Black" w:hAnsi="Arial Black"/>
            <w:noProof/>
            <w:color w:val="808080" w:themeColor="background1" w:themeShade="80"/>
          </w:rPr>
          <w:drawing>
            <wp:anchor distT="0" distB="0" distL="114300" distR="114300" simplePos="0" relativeHeight="251660288" behindDoc="0" locked="0" layoutInCell="1" allowOverlap="1">
              <wp:simplePos x="0" y="0"/>
              <wp:positionH relativeFrom="column">
                <wp:posOffset>-133350</wp:posOffset>
              </wp:positionH>
              <wp:positionV relativeFrom="paragraph">
                <wp:posOffset>-97790</wp:posOffset>
              </wp:positionV>
              <wp:extent cx="2052320" cy="419100"/>
              <wp:effectExtent l="19050" t="0" r="5080" b="0"/>
              <wp:wrapNone/>
              <wp:docPr id="7" name="Picture 3"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C Logo NEW PURPLE 2007"/>
                      <pic:cNvPicPr>
                        <a:picLocks noChangeAspect="1" noChangeArrowheads="1"/>
                      </pic:cNvPicPr>
                    </pic:nvPicPr>
                    <pic:blipFill>
                      <a:blip r:embed="rId1"/>
                      <a:srcRect/>
                      <a:stretch>
                        <a:fillRect/>
                      </a:stretch>
                    </pic:blipFill>
                    <pic:spPr bwMode="auto">
                      <a:xfrm>
                        <a:off x="0" y="0"/>
                        <a:ext cx="2052320" cy="419100"/>
                      </a:xfrm>
                      <a:prstGeom prst="rect">
                        <a:avLst/>
                      </a:prstGeom>
                      <a:noFill/>
                    </pic:spPr>
                  </pic:pic>
                </a:graphicData>
              </a:graphic>
            </wp:anchor>
          </w:drawing>
        </w:r>
        <w:r w:rsidR="00071D48" w:rsidRPr="00344C3B">
          <w:rPr>
            <w:rFonts w:ascii="Arial Black" w:hAnsi="Arial Black"/>
            <w:color w:val="808080" w:themeColor="background1" w:themeShade="80"/>
          </w:rPr>
          <w:fldChar w:fldCharType="begin"/>
        </w:r>
        <w:r w:rsidRPr="00344C3B">
          <w:rPr>
            <w:rFonts w:ascii="Arial Black" w:hAnsi="Arial Black"/>
            <w:color w:val="808080" w:themeColor="background1" w:themeShade="80"/>
          </w:rPr>
          <w:instrText xml:space="preserve"> PAGE   \* MERGEFORMAT </w:instrText>
        </w:r>
        <w:r w:rsidR="00071D48" w:rsidRPr="00344C3B">
          <w:rPr>
            <w:rFonts w:ascii="Arial Black" w:hAnsi="Arial Black"/>
            <w:color w:val="808080" w:themeColor="background1" w:themeShade="80"/>
          </w:rPr>
          <w:fldChar w:fldCharType="separate"/>
        </w:r>
        <w:r w:rsidR="00012BDB">
          <w:rPr>
            <w:rFonts w:ascii="Arial Black" w:hAnsi="Arial Black"/>
            <w:noProof/>
            <w:color w:val="808080" w:themeColor="background1" w:themeShade="80"/>
          </w:rPr>
          <w:t>ii</w:t>
        </w:r>
        <w:r w:rsidR="00071D48" w:rsidRPr="00344C3B">
          <w:rPr>
            <w:rFonts w:ascii="Arial Black" w:hAnsi="Arial Black"/>
            <w:color w:val="808080" w:themeColor="background1" w:themeShade="80"/>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Pr="00321715" w:rsidRDefault="00071D48" w:rsidP="00B50663">
    <w:pPr>
      <w:pStyle w:val="Footer"/>
      <w:jc w:val="right"/>
      <w:rPr>
        <w:sz w:val="20"/>
        <w:szCs w:val="20"/>
      </w:rPr>
    </w:pPr>
    <w:r w:rsidRPr="009D111C">
      <w:rPr>
        <w:rStyle w:val="PageNumber"/>
        <w:sz w:val="20"/>
        <w:szCs w:val="20"/>
      </w:rPr>
      <w:fldChar w:fldCharType="begin"/>
    </w:r>
    <w:r w:rsidR="002C2C20" w:rsidRPr="009D111C">
      <w:rPr>
        <w:rStyle w:val="PageNumber"/>
        <w:sz w:val="20"/>
        <w:szCs w:val="20"/>
      </w:rPr>
      <w:instrText xml:space="preserve">PAGE  </w:instrText>
    </w:r>
    <w:r w:rsidRPr="009D111C">
      <w:rPr>
        <w:rStyle w:val="PageNumber"/>
        <w:sz w:val="20"/>
        <w:szCs w:val="20"/>
      </w:rPr>
      <w:fldChar w:fldCharType="separate"/>
    </w:r>
    <w:r w:rsidR="002C2C20">
      <w:rPr>
        <w:rStyle w:val="PageNumber"/>
        <w:noProof/>
        <w:sz w:val="20"/>
        <w:szCs w:val="20"/>
      </w:rPr>
      <w:t>58</w:t>
    </w:r>
    <w:r w:rsidRPr="009D111C">
      <w:rPr>
        <w:rStyle w:val="PageNumber"/>
        <w:sz w:val="20"/>
        <w:szCs w:val="20"/>
      </w:rPr>
      <w:fldChar w:fldCharType="end"/>
    </w:r>
  </w:p>
  <w:p w:rsidR="002C2C20" w:rsidRDefault="002C2C20">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45346315"/>
      <w:docPartObj>
        <w:docPartGallery w:val="Page Numbers (Bottom of Page)"/>
        <w:docPartUnique/>
      </w:docPartObj>
    </w:sdtPr>
    <w:sdtEndPr>
      <w:rPr>
        <w:rFonts w:ascii="Verdana" w:hAnsi="Verdana"/>
      </w:rPr>
    </w:sdtEndPr>
    <w:sdtContent>
      <w:p w:rsidR="002C2C20" w:rsidRPr="00840AC1" w:rsidRDefault="00071D48">
        <w:pPr>
          <w:pStyle w:val="Footer"/>
          <w:jc w:val="right"/>
          <w:rPr>
            <w:rFonts w:ascii="Verdana" w:hAnsi="Verdana"/>
          </w:rPr>
        </w:pPr>
        <w:r w:rsidRPr="00C91112">
          <w:rPr>
            <w:rFonts w:ascii="Verdana" w:hAnsi="Verdana"/>
          </w:rPr>
          <w:fldChar w:fldCharType="begin"/>
        </w:r>
        <w:r w:rsidR="002C2C20" w:rsidRPr="00C91112">
          <w:rPr>
            <w:rFonts w:ascii="Verdana" w:hAnsi="Verdana"/>
          </w:rPr>
          <w:instrText xml:space="preserve"> PAGE   \* MERGEFORMAT </w:instrText>
        </w:r>
        <w:r w:rsidRPr="00C91112">
          <w:rPr>
            <w:rFonts w:ascii="Verdana" w:hAnsi="Verdana"/>
          </w:rPr>
          <w:fldChar w:fldCharType="separate"/>
        </w:r>
        <w:r w:rsidR="00012BDB">
          <w:rPr>
            <w:rFonts w:ascii="Verdana" w:hAnsi="Verdana"/>
            <w:noProof/>
          </w:rPr>
          <w:t>1</w:t>
        </w:r>
        <w:r w:rsidRPr="00C91112">
          <w:rPr>
            <w:rFonts w:ascii="Verdana" w:hAnsi="Verdana"/>
          </w:rPr>
          <w:fldChar w:fldCharType="end"/>
        </w:r>
      </w:p>
    </w:sdtContent>
  </w:sdt>
  <w:p w:rsidR="002C2C20" w:rsidRDefault="002C2C20">
    <w:pPr>
      <w:pStyle w:val="Footer"/>
    </w:pPr>
    <w:r w:rsidRPr="00B00CFF">
      <w:rPr>
        <w:noProof/>
      </w:rPr>
      <w:drawing>
        <wp:anchor distT="0" distB="0" distL="114300" distR="114300" simplePos="0" relativeHeight="251664384" behindDoc="0" locked="0" layoutInCell="1" allowOverlap="1">
          <wp:simplePos x="0" y="0"/>
          <wp:positionH relativeFrom="column">
            <wp:posOffset>-135496</wp:posOffset>
          </wp:positionH>
          <wp:positionV relativeFrom="paragraph">
            <wp:posOffset>-243303</wp:posOffset>
          </wp:positionV>
          <wp:extent cx="2049368" cy="425002"/>
          <wp:effectExtent l="19050" t="0" r="5080" b="0"/>
          <wp:wrapNone/>
          <wp:docPr id="4" name="Picture 3"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C Logo NEW PURPLE 2007"/>
                  <pic:cNvPicPr>
                    <a:picLocks noChangeAspect="1" noChangeArrowheads="1"/>
                  </pic:cNvPicPr>
                </pic:nvPicPr>
                <pic:blipFill>
                  <a:blip r:embed="rId1"/>
                  <a:srcRect/>
                  <a:stretch>
                    <a:fillRect/>
                  </a:stretch>
                </pic:blipFill>
                <pic:spPr bwMode="auto">
                  <a:xfrm>
                    <a:off x="0" y="0"/>
                    <a:ext cx="2052320" cy="419100"/>
                  </a:xfrm>
                  <a:prstGeom prst="rect">
                    <a:avLst/>
                  </a:prstGeom>
                  <a:noFill/>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2C20" w:rsidRDefault="002C2C20" w:rsidP="00DB35F9">
      <w:pPr>
        <w:spacing w:after="0" w:line="240" w:lineRule="auto"/>
      </w:pPr>
      <w:r>
        <w:separator/>
      </w:r>
    </w:p>
  </w:footnote>
  <w:footnote w:type="continuationSeparator" w:id="0">
    <w:p w:rsidR="002C2C20" w:rsidRDefault="002C2C20" w:rsidP="00DB35F9">
      <w:pPr>
        <w:spacing w:after="0" w:line="240" w:lineRule="auto"/>
      </w:pPr>
      <w:r>
        <w:continuationSeparator/>
      </w:r>
    </w:p>
  </w:footnote>
  <w:footnote w:id="1">
    <w:p w:rsidR="002C2C20" w:rsidRDefault="002C2C20">
      <w:pPr>
        <w:pStyle w:val="FootnoteText"/>
      </w:pPr>
      <w:r>
        <w:rPr>
          <w:rStyle w:val="FootnoteReference"/>
        </w:rPr>
        <w:footnoteRef/>
      </w:r>
      <w:r>
        <w:t xml:space="preserve"> Any use of the term SmartMeter, SmartRate or SmartAC in this document is intended to refer to the trademarked term, whether or not </w:t>
      </w:r>
      <w:r>
        <w:rPr>
          <w:vertAlign w:val="superscript"/>
        </w:rPr>
        <w:t>TM</w:t>
      </w:r>
      <w:r>
        <w:t xml:space="preserve"> is included.  SmartMeter™ is a trademark of </w:t>
      </w:r>
      <w:proofErr w:type="spellStart"/>
      <w:r>
        <w:t>SmartSynch</w:t>
      </w:r>
      <w:proofErr w:type="spellEnd"/>
      <w:r>
        <w:t>, Inc. and is used by permission.</w:t>
      </w:r>
    </w:p>
  </w:footnote>
  <w:footnote w:id="2">
    <w:p w:rsidR="002C2C20" w:rsidRDefault="002C2C20">
      <w:pPr>
        <w:pStyle w:val="FootnoteText"/>
      </w:pPr>
      <w:r>
        <w:rPr>
          <w:rStyle w:val="FootnoteReference"/>
        </w:rPr>
        <w:footnoteRef/>
      </w:r>
      <w:r>
        <w:t xml:space="preserve"> CARE stands for California Alternate Rates for Energy and is a program through which low-income consumers receive lower rates than non-CARE customers.</w:t>
      </w:r>
    </w:p>
  </w:footnote>
  <w:footnote w:id="3">
    <w:p w:rsidR="002C2C20" w:rsidRPr="0083777C" w:rsidRDefault="002C2C20" w:rsidP="00A53378">
      <w:pPr>
        <w:pStyle w:val="Footnote"/>
      </w:pPr>
      <w:r>
        <w:rPr>
          <w:rStyle w:val="FootnoteReference"/>
        </w:rPr>
        <w:footnoteRef/>
      </w:r>
      <w:r>
        <w:t xml:space="preserve"> </w:t>
      </w:r>
      <w:r w:rsidRPr="0083777C">
        <w:t>A local capacity area is a transmission constrained load pocket designate</w:t>
      </w:r>
      <w:r>
        <w:t>d</w:t>
      </w:r>
      <w:r w:rsidRPr="0083777C">
        <w:t xml:space="preserve"> by the California Independent System Operator</w:t>
      </w:r>
      <w:r>
        <w:t> </w:t>
      </w:r>
      <w:r w:rsidRPr="0083777C">
        <w:t>(CAISO).</w:t>
      </w:r>
    </w:p>
  </w:footnote>
  <w:footnote w:id="4">
    <w:p w:rsidR="002C2C20" w:rsidRPr="00C33F4F" w:rsidRDefault="002C2C20" w:rsidP="00A53378">
      <w:pPr>
        <w:pStyle w:val="Footnote"/>
        <w:rPr>
          <w:szCs w:val="18"/>
        </w:rPr>
      </w:pPr>
      <w:r w:rsidRPr="00C33F4F">
        <w:rPr>
          <w:rStyle w:val="FootnoteReference"/>
          <w:szCs w:val="18"/>
        </w:rPr>
        <w:footnoteRef/>
      </w:r>
      <w:r w:rsidRPr="00C33F4F">
        <w:t xml:space="preserve"> E-7 was re</w:t>
      </w:r>
      <w:r w:rsidRPr="00C33F4F">
        <w:rPr>
          <w:rFonts w:ascii="Cambria Math" w:hAnsi="Cambria Math" w:cs="Cambria Math"/>
        </w:rPr>
        <w:t>‐</w:t>
      </w:r>
      <w:r w:rsidRPr="00C33F4F">
        <w:t>opened briefly E</w:t>
      </w:r>
      <w:r w:rsidRPr="00C33F4F">
        <w:rPr>
          <w:rFonts w:ascii="Cambria Math" w:hAnsi="Cambria Math" w:cs="Cambria Math"/>
        </w:rPr>
        <w:t>‐</w:t>
      </w:r>
      <w:r w:rsidRPr="00C33F4F">
        <w:t>7 on January 1, 2007 for customers with rooftop solar installations, and again between January 1, 2008 through June 30, 2009 to solar customers with interconnections</w:t>
      </w:r>
      <w:r>
        <w:t xml:space="preserve"> </w:t>
      </w:r>
      <w:r w:rsidRPr="00C33F4F">
        <w:rPr>
          <w:szCs w:val="18"/>
        </w:rPr>
        <w:t>in progress who had filed interconnection agreements prior to December 31, 2007 (see Advice 3285</w:t>
      </w:r>
      <w:r w:rsidRPr="00C33F4F">
        <w:rPr>
          <w:rFonts w:ascii="Cambria Math" w:hAnsi="Cambria Math" w:cs="Cambria Math"/>
          <w:szCs w:val="18"/>
        </w:rPr>
        <w:t>‐</w:t>
      </w:r>
      <w:r w:rsidRPr="00C33F4F">
        <w:rPr>
          <w:szCs w:val="18"/>
        </w:rPr>
        <w:t>E, dated</w:t>
      </w:r>
      <w:r>
        <w:rPr>
          <w:szCs w:val="18"/>
        </w:rPr>
        <w:t xml:space="preserve"> </w:t>
      </w:r>
      <w:r w:rsidRPr="00C33F4F">
        <w:rPr>
          <w:szCs w:val="18"/>
        </w:rPr>
        <w:t>June 26, 2008)</w:t>
      </w:r>
      <w:r>
        <w:rPr>
          <w:szCs w:val="18"/>
        </w:rPr>
        <w:t>.</w:t>
      </w:r>
    </w:p>
  </w:footnote>
  <w:footnote w:id="5">
    <w:p w:rsidR="002C2C20" w:rsidRDefault="002C2C20" w:rsidP="00A53378">
      <w:pPr>
        <w:pStyle w:val="Footnote"/>
      </w:pPr>
      <w:r w:rsidRPr="00C33F4F">
        <w:rPr>
          <w:rStyle w:val="FootnoteReference"/>
          <w:szCs w:val="18"/>
        </w:rPr>
        <w:footnoteRef/>
      </w:r>
      <w:r w:rsidRPr="00C33F4F">
        <w:t xml:space="preserve"> Except for 5 E-7 customers and 20 E-6 customers, all other SmartRate customers have E-1 as their underlying tariff.</w:t>
      </w:r>
      <w:r>
        <w:t xml:space="preserve">  </w:t>
      </w:r>
    </w:p>
  </w:footnote>
  <w:footnote w:id="6">
    <w:p w:rsidR="002C2C20" w:rsidRDefault="002C2C20" w:rsidP="00A53378">
      <w:pPr>
        <w:pStyle w:val="Footnote"/>
      </w:pPr>
      <w:r>
        <w:rPr>
          <w:rStyle w:val="FootnoteReference"/>
        </w:rPr>
        <w:footnoteRef/>
      </w:r>
      <w:r>
        <w:t xml:space="preserve"> </w:t>
      </w:r>
      <w:r w:rsidRPr="00614ABF">
        <w:t>The average is calculated over forecasts for Sacramento, Concord, San Jose, Red Bluff and Fresno.</w:t>
      </w:r>
    </w:p>
  </w:footnote>
  <w:footnote w:id="7">
    <w:p w:rsidR="002C2C20" w:rsidRPr="00176A79" w:rsidRDefault="002C2C20" w:rsidP="00A53378">
      <w:pPr>
        <w:pStyle w:val="Footnote"/>
      </w:pPr>
      <w:r>
        <w:rPr>
          <w:rStyle w:val="FootnoteReference"/>
        </w:rPr>
        <w:footnoteRef/>
      </w:r>
      <w:r>
        <w:t xml:space="preserve"> </w:t>
      </w:r>
      <w:r w:rsidRPr="00B00CFF">
        <w:t>These</w:t>
      </w:r>
      <w:r w:rsidRPr="00551DCF">
        <w:t xml:space="preserve"> are the prices that were in effect for the majority of the summer (starting June 20, 2011).  Current E-1 prices are slightly different.  Both current and historical rates can be found here: </w:t>
      </w:r>
      <w:hyperlink r:id="rId1" w:anchor="RESELEC" w:history="1">
        <w:r w:rsidRPr="00B00CFF">
          <w:rPr>
            <w:rStyle w:val="Hyperlink"/>
            <w:szCs w:val="18"/>
          </w:rPr>
          <w:t>http://www.pge.com/nots/rates/tariffs/electric.shtml#RESELEC</w:t>
        </w:r>
      </w:hyperlink>
      <w:r w:rsidRPr="00551DCF">
        <w:t>.</w:t>
      </w:r>
    </w:p>
  </w:footnote>
  <w:footnote w:id="8">
    <w:p w:rsidR="002C2C20" w:rsidRPr="00551DCF" w:rsidRDefault="002C2C20" w:rsidP="00A53378">
      <w:pPr>
        <w:pStyle w:val="Footnote"/>
        <w:rPr>
          <w:b/>
        </w:rPr>
      </w:pPr>
      <w:r w:rsidRPr="00551DCF">
        <w:rPr>
          <w:rStyle w:val="FootnoteReference"/>
          <w:szCs w:val="18"/>
        </w:rPr>
        <w:footnoteRef/>
      </w:r>
      <w:r w:rsidRPr="00551DCF">
        <w:t xml:space="preserve"> For more information about the SmartAC program see “201</w:t>
      </w:r>
      <w:r>
        <w:t>2</w:t>
      </w:r>
      <w:r w:rsidRPr="00551DCF">
        <w:t xml:space="preserve"> Load Impact Evaluation for Pacific Gas and Electric Company's Smart AC Program” which is available on the CPUC website.</w:t>
      </w:r>
    </w:p>
    <w:p w:rsidR="002C2C20" w:rsidRPr="00C33F4F" w:rsidRDefault="002C2C20" w:rsidP="00A53378">
      <w:pPr>
        <w:pStyle w:val="FootnoteText"/>
      </w:pPr>
    </w:p>
  </w:footnote>
  <w:footnote w:id="9">
    <w:p w:rsidR="002C2C20" w:rsidRDefault="002C2C20" w:rsidP="00701E06">
      <w:pPr>
        <w:pStyle w:val="Footnote"/>
      </w:pPr>
      <w:r w:rsidRPr="00454E27">
        <w:rPr>
          <w:vertAlign w:val="superscript"/>
        </w:rPr>
        <w:footnoteRef/>
      </w:r>
      <w:r>
        <w:t xml:space="preserve"> The </w:t>
      </w:r>
      <w:r w:rsidRPr="006106B0">
        <w:t>rates</w:t>
      </w:r>
      <w:r>
        <w:t xml:space="preserve"> shown here </w:t>
      </w:r>
      <w:r w:rsidRPr="00F61DEE">
        <w:t>were</w:t>
      </w:r>
      <w:r>
        <w:t xml:space="preserve"> those in effect as of December 2012.  Rates changed four times during the study period.  Current and historical rates can be found online at </w:t>
      </w:r>
      <w:hyperlink r:id="rId2" w:anchor="RESELEC_TOU" w:history="1">
        <w:r>
          <w:rPr>
            <w:rStyle w:val="Hyperlink"/>
          </w:rPr>
          <w:t>http://www.pge.com/nots/rates/tariffs/electric.shtml#RESELEC_TOU</w:t>
        </w:r>
      </w:hyperlink>
      <w:r>
        <w:t>.</w:t>
      </w:r>
    </w:p>
  </w:footnote>
  <w:footnote w:id="10">
    <w:p w:rsidR="002C2C20" w:rsidRDefault="002C2C20" w:rsidP="00701E06">
      <w:pPr>
        <w:pStyle w:val="Footnote"/>
      </w:pPr>
      <w:r>
        <w:rPr>
          <w:rStyle w:val="FootnoteReference"/>
        </w:rPr>
        <w:footnoteRef/>
      </w:r>
      <w:r>
        <w:t xml:space="preserve"> </w:t>
      </w:r>
      <w:r w:rsidRPr="00584D09">
        <w:t xml:space="preserve">The design necessary to measure such an effect would be a large-scale randomized controlled trial </w:t>
      </w:r>
      <w:r>
        <w:t xml:space="preserve">with tens of thousands of customers </w:t>
      </w:r>
      <w:r w:rsidRPr="00584D09">
        <w:t>such as those used to measure the impact of Opower-type interventions, only with the further complication that customers have to opt-in to the program.</w:t>
      </w:r>
      <w:r>
        <w:t xml:space="preserve">  This complication can be dealt with using a recruit and deny methodology, which is logistically demanding and could negatively impact customer satisfaction.  </w:t>
      </w:r>
    </w:p>
  </w:footnote>
  <w:footnote w:id="11">
    <w:p w:rsidR="002C2C20" w:rsidRPr="003D15B5" w:rsidRDefault="002C2C20" w:rsidP="00701E06">
      <w:pPr>
        <w:pStyle w:val="Footnote"/>
      </w:pPr>
      <w:r w:rsidRPr="00B95E45">
        <w:rPr>
          <w:rStyle w:val="FootnoteReference"/>
          <w:szCs w:val="18"/>
        </w:rPr>
        <w:footnoteRef/>
      </w:r>
      <w:r w:rsidRPr="00B95E45">
        <w:t xml:space="preserve"> See Appendix A for a full list of variables used in match.</w:t>
      </w:r>
    </w:p>
  </w:footnote>
  <w:footnote w:id="12">
    <w:p w:rsidR="002C2C20" w:rsidRDefault="002C2C20" w:rsidP="00701E06">
      <w:pPr>
        <w:pStyle w:val="Footnote"/>
      </w:pPr>
      <w:r>
        <w:rPr>
          <w:rStyle w:val="FootnoteReference"/>
        </w:rPr>
        <w:footnoteRef/>
      </w:r>
      <w:r>
        <w:t xml:space="preserve"> </w:t>
      </w:r>
      <w:r w:rsidRPr="004241DC">
        <w:t xml:space="preserve">The days were June </w:t>
      </w:r>
      <w:r>
        <w:t xml:space="preserve">1, </w:t>
      </w:r>
      <w:r w:rsidRPr="004241DC">
        <w:t xml:space="preserve">June </w:t>
      </w:r>
      <w:r>
        <w:t xml:space="preserve">12, </w:t>
      </w:r>
      <w:r w:rsidRPr="004241DC">
        <w:t xml:space="preserve">June </w:t>
      </w:r>
      <w:r>
        <w:t xml:space="preserve">17, </w:t>
      </w:r>
      <w:r w:rsidRPr="004241DC">
        <w:t xml:space="preserve">June </w:t>
      </w:r>
      <w:r>
        <w:t>20</w:t>
      </w:r>
      <w:r w:rsidRPr="004241DC">
        <w:t xml:space="preserve">, July </w:t>
      </w:r>
      <w:r>
        <w:t>22</w:t>
      </w:r>
      <w:r w:rsidRPr="004241DC">
        <w:t xml:space="preserve">, July </w:t>
      </w:r>
      <w:r>
        <w:t>31</w:t>
      </w:r>
      <w:r w:rsidRPr="004241DC">
        <w:t xml:space="preserve">, </w:t>
      </w:r>
      <w:r>
        <w:t>August 1, August 8, August 9 and September 30</w:t>
      </w:r>
      <w:r w:rsidRPr="004241DC">
        <w:t>.</w:t>
      </w:r>
      <w:r>
        <w:t xml:space="preserve"> </w:t>
      </w:r>
    </w:p>
  </w:footnote>
  <w:footnote w:id="13">
    <w:p w:rsidR="002C2C20" w:rsidRDefault="002C2C20" w:rsidP="00701E06">
      <w:pPr>
        <w:pStyle w:val="Footnote"/>
      </w:pPr>
      <w:r>
        <w:rPr>
          <w:rStyle w:val="FootnoteReference"/>
        </w:rPr>
        <w:footnoteRef/>
      </w:r>
      <w:r>
        <w:t>T</w:t>
      </w:r>
      <w:r w:rsidRPr="009D7027">
        <w:t>hese statistics are for the matched control group for the first set of event days for SmartRate-</w:t>
      </w:r>
      <w:r>
        <w:t>o</w:t>
      </w:r>
      <w:r w:rsidRPr="009D7027">
        <w:t xml:space="preserve">nly Customers.  </w:t>
      </w:r>
      <w:r>
        <w:t xml:space="preserve">Analogous </w:t>
      </w:r>
      <w:r w:rsidRPr="009D7027">
        <w:t xml:space="preserve">tables </w:t>
      </w:r>
      <w:r>
        <w:t xml:space="preserve">for later summer control groups and for dually-enrolled control groups are in </w:t>
      </w:r>
      <w:r w:rsidRPr="009D7027">
        <w:t>Appendix</w:t>
      </w:r>
      <w:r>
        <w:t xml:space="preserve"> A.</w:t>
      </w:r>
    </w:p>
  </w:footnote>
  <w:footnote w:id="14">
    <w:p w:rsidR="002C2C20" w:rsidRDefault="002C2C20" w:rsidP="00701E06">
      <w:pPr>
        <w:pStyle w:val="Footnote"/>
      </w:pPr>
      <w:r>
        <w:rPr>
          <w:rStyle w:val="FootnoteReference"/>
        </w:rPr>
        <w:footnoteRef/>
      </w:r>
      <w:r>
        <w:t xml:space="preserve"> T</w:t>
      </w:r>
      <w:r w:rsidRPr="009D7027">
        <w:t xml:space="preserve">hese statistics are for the matched control group for the first set of event days for SmartRate-Only Customers.  </w:t>
      </w:r>
      <w:r>
        <w:t>Analogous graphs</w:t>
      </w:r>
      <w:r w:rsidRPr="009D7027">
        <w:t xml:space="preserve"> </w:t>
      </w:r>
      <w:r>
        <w:t xml:space="preserve">for later summer control groups and for dually-enrolled control groups are in </w:t>
      </w:r>
      <w:r w:rsidRPr="009D7027">
        <w:t>Appendix</w:t>
      </w:r>
      <w:r>
        <w:t xml:space="preserve"> A.</w:t>
      </w:r>
    </w:p>
  </w:footnote>
  <w:footnote w:id="15">
    <w:p w:rsidR="002C2C20" w:rsidRPr="00C509A4" w:rsidRDefault="002C2C20" w:rsidP="00701E06">
      <w:pPr>
        <w:pStyle w:val="Footnote"/>
      </w:pPr>
      <w:r w:rsidRPr="00C509A4">
        <w:rPr>
          <w:rStyle w:val="FootnoteReference"/>
          <w:szCs w:val="18"/>
        </w:rPr>
        <w:footnoteRef/>
      </w:r>
      <w:r w:rsidRPr="00C509A4">
        <w:t xml:space="preserve"> The correlation coefficient calculated here is Pearson’s correlation.</w:t>
      </w:r>
      <w:r>
        <w:t xml:space="preserve">  It</w:t>
      </w:r>
      <w:r w:rsidRPr="00C509A4">
        <w:t xml:space="preserve"> is a measurement of how strongly two sets of measurements are related.  Its value </w:t>
      </w:r>
      <w:r>
        <w:t>can range</w:t>
      </w:r>
      <w:r w:rsidRPr="00C509A4">
        <w:t xml:space="preserve"> from -1 to 1.  A positive correlation indicates that when one measurement is above its average that the other is likely to be above its average as well.  The closer the correlation is to 1, the more the values vary together in this way.</w:t>
      </w:r>
      <w:r>
        <w:t xml:space="preserve">  </w:t>
      </w:r>
    </w:p>
  </w:footnote>
  <w:footnote w:id="16">
    <w:p w:rsidR="002C2C20" w:rsidRDefault="002C2C20" w:rsidP="00FD127A">
      <w:pPr>
        <w:pStyle w:val="Footnote"/>
      </w:pPr>
      <w:r>
        <w:rPr>
          <w:rStyle w:val="FootnoteReference"/>
        </w:rPr>
        <w:footnoteRef/>
      </w:r>
      <w:r>
        <w:t xml:space="preserve"> </w:t>
      </w:r>
      <w:r w:rsidRPr="00504E4E">
        <w:t>Although separate ex post estimates for dually-enrolled customers were not reported in 2011, they were calculated for ex ante analysis.</w:t>
      </w:r>
    </w:p>
  </w:footnote>
  <w:footnote w:id="17">
    <w:p w:rsidR="002C2C20" w:rsidRPr="009206BD" w:rsidRDefault="002C2C20" w:rsidP="00FD127A">
      <w:pPr>
        <w:pStyle w:val="Footnote"/>
      </w:pPr>
      <w:r w:rsidRPr="009206BD">
        <w:rPr>
          <w:rStyle w:val="FootnoteReference"/>
          <w:szCs w:val="18"/>
        </w:rPr>
        <w:footnoteRef/>
      </w:r>
      <w:r w:rsidRPr="009206BD">
        <w:t xml:space="preserve"> There are very few or no SmartRate customers in the Humboldt </w:t>
      </w:r>
      <w:r>
        <w:t>LCA</w:t>
      </w:r>
      <w:r w:rsidRPr="009206BD">
        <w:t>.</w:t>
      </w:r>
    </w:p>
  </w:footnote>
  <w:footnote w:id="18">
    <w:p w:rsidR="002C2C20" w:rsidRPr="001407BE" w:rsidRDefault="002C2C20" w:rsidP="009832E2">
      <w:pPr>
        <w:pStyle w:val="Footnote"/>
      </w:pPr>
      <w:r w:rsidRPr="001407BE">
        <w:rPr>
          <w:rStyle w:val="FootnoteReference"/>
          <w:szCs w:val="18"/>
        </w:rPr>
        <w:footnoteRef/>
      </w:r>
      <w:r w:rsidRPr="001407BE">
        <w:t xml:space="preserve"> Values in Table 4-5 will differ somewhat from the primary ex post impact estimates because different control groups had to be developed for CARE and non-CARE customers than were developed at the LCA level for the primary ex post estimates.</w:t>
      </w:r>
    </w:p>
  </w:footnote>
  <w:footnote w:id="19">
    <w:p w:rsidR="002C2C20" w:rsidRPr="009206BD" w:rsidRDefault="002C2C20" w:rsidP="00FD127A">
      <w:pPr>
        <w:pStyle w:val="Footnote"/>
      </w:pPr>
      <w:r>
        <w:rPr>
          <w:rStyle w:val="FootnoteReference"/>
        </w:rPr>
        <w:footnoteRef/>
      </w:r>
      <w:r>
        <w:t xml:space="preserve"> See “2009 </w:t>
      </w:r>
      <w:r w:rsidRPr="00607D62">
        <w:rPr>
          <w:szCs w:val="18"/>
        </w:rPr>
        <w:t>California</w:t>
      </w:r>
      <w:r>
        <w:t xml:space="preserve"> Residential Appliance Saturation Survey,” prepared for the California Energy Commission by KEMA, Inc.</w:t>
      </w:r>
    </w:p>
  </w:footnote>
  <w:footnote w:id="20">
    <w:p w:rsidR="002C2C20" w:rsidRPr="009206BD" w:rsidRDefault="002C2C20" w:rsidP="00FD127A">
      <w:pPr>
        <w:pStyle w:val="Footnote"/>
      </w:pPr>
      <w:r>
        <w:rPr>
          <w:rStyle w:val="FootnoteReference"/>
        </w:rPr>
        <w:footnoteRef/>
      </w:r>
      <w:r>
        <w:t xml:space="preserve"> </w:t>
      </w:r>
      <w:r w:rsidRPr="00A739BC">
        <w:t xml:space="preserve">For model documentation see “2009 Load Impact Evaluation for Pacific Gas and Electric Company’s Residential </w:t>
      </w:r>
      <w:proofErr w:type="spellStart"/>
      <w:r w:rsidRPr="00A739BC">
        <w:t>SmartRate</w:t>
      </w:r>
      <w:r w:rsidRPr="00A739BC">
        <w:rPr>
          <w:vertAlign w:val="superscript"/>
        </w:rPr>
        <w:t>TM</w:t>
      </w:r>
      <w:proofErr w:type="spellEnd"/>
      <w:r w:rsidRPr="00A739BC">
        <w:t>—Peak Day Pricing and TOU Tariffs and SmartAC Program, Volume 2:  Ex Ante Load Impacts</w:t>
      </w:r>
      <w:r>
        <w:t>,</w:t>
      </w:r>
      <w:r w:rsidRPr="00A739BC">
        <w:t>” prepared for PG&amp;E by FSC.</w:t>
      </w:r>
    </w:p>
  </w:footnote>
  <w:footnote w:id="21">
    <w:p w:rsidR="002C2C20" w:rsidRDefault="002C2C20" w:rsidP="009832E2">
      <w:pPr>
        <w:pStyle w:val="Footnote"/>
      </w:pPr>
      <w:r>
        <w:rPr>
          <w:rStyle w:val="FootnoteReference"/>
        </w:rPr>
        <w:footnoteRef/>
      </w:r>
      <w:r>
        <w:t xml:space="preserve"> </w:t>
      </w:r>
      <w:r w:rsidRPr="00314DA4">
        <w:t>In a recent test of the model based on newly available survey data, the model’s results were found to be highly accurate, even in distinguishing the likelihood of AC ownership among a group of customers who all had high likelihoods.</w:t>
      </w:r>
    </w:p>
  </w:footnote>
  <w:footnote w:id="22">
    <w:p w:rsidR="002C2C20" w:rsidRPr="00DE1155" w:rsidRDefault="002C2C20" w:rsidP="009832E2">
      <w:pPr>
        <w:pStyle w:val="Footnote"/>
      </w:pPr>
      <w:r>
        <w:rPr>
          <w:rStyle w:val="FootnoteReference"/>
        </w:rPr>
        <w:footnoteRef/>
      </w:r>
      <w:r>
        <w:t xml:space="preserve"> </w:t>
      </w:r>
      <w:r w:rsidRPr="00DE1155">
        <w:t>For details of this calculation see Appendix C.</w:t>
      </w:r>
    </w:p>
  </w:footnote>
  <w:footnote w:id="23">
    <w:p w:rsidR="002C2C20" w:rsidRDefault="002C2C20">
      <w:pPr>
        <w:pStyle w:val="FootnoteText"/>
      </w:pPr>
      <w:r>
        <w:rPr>
          <w:rStyle w:val="FootnoteReference"/>
        </w:rPr>
        <w:footnoteRef/>
      </w:r>
      <w:r>
        <w:t xml:space="preserve"> </w:t>
      </w:r>
      <w:proofErr w:type="gramStart"/>
      <w:r>
        <w:t>Average values of bill protection status is</w:t>
      </w:r>
      <w:proofErr w:type="gramEnd"/>
      <w:r>
        <w:t xml:space="preserve"> much lower for this population than for the population used to estimate bill savings.  This is because this population (which only includes customers on the program for the whole summer of 2012) has, on average, been on the program much longer.</w:t>
      </w:r>
    </w:p>
  </w:footnote>
  <w:footnote w:id="24">
    <w:p w:rsidR="002C2C20" w:rsidRPr="000E418E" w:rsidRDefault="002C2C20" w:rsidP="0024441D">
      <w:pPr>
        <w:pStyle w:val="Footnote"/>
      </w:pPr>
      <w:r>
        <w:rPr>
          <w:rStyle w:val="FootnoteReference"/>
        </w:rPr>
        <w:footnoteRef/>
      </w:r>
      <w:r>
        <w:t xml:space="preserve"> </w:t>
      </w:r>
      <w:r w:rsidRPr="000E418E">
        <w:t>The percentage of dually-enrolled customers is that for customers who experienced all of the 2012 events and does match the fraction in the descriptive population tables of the beginning of summer.</w:t>
      </w:r>
    </w:p>
  </w:footnote>
  <w:footnote w:id="25">
    <w:p w:rsidR="002C2C20" w:rsidRDefault="002C2C20" w:rsidP="00FD127A">
      <w:pPr>
        <w:pStyle w:val="Footnote"/>
      </w:pPr>
      <w:r w:rsidRPr="000E418E">
        <w:rPr>
          <w:rStyle w:val="FootnoteReference"/>
        </w:rPr>
        <w:footnoteRef/>
      </w:r>
      <w:r w:rsidRPr="000E418E">
        <w:t xml:space="preserve"> A very small number of SmartRate customers (25) are on TOU rates.</w:t>
      </w:r>
      <w:r>
        <w:t xml:space="preserve">  An </w:t>
      </w:r>
      <w:r w:rsidRPr="000E418E">
        <w:t>additional 300 customers are on E-8.  These</w:t>
      </w:r>
      <w:r w:rsidRPr="00027458">
        <w:t xml:space="preserve"> customers are excluded from the billing analysis because monthly usage data cannot be used to estimate their OAT bills.</w:t>
      </w:r>
    </w:p>
  </w:footnote>
  <w:footnote w:id="26">
    <w:p w:rsidR="002C2C20" w:rsidRDefault="002C2C20" w:rsidP="00FD127A">
      <w:pPr>
        <w:pStyle w:val="Footnote"/>
      </w:pPr>
      <w:r>
        <w:rPr>
          <w:rStyle w:val="FootnoteReference"/>
        </w:rPr>
        <w:footnoteRef/>
      </w:r>
      <w:r>
        <w:t xml:space="preserve"> The precise value of these percentages depends on the correct denominator, properly accounting for customers whose accounts close due to churn.  However, regardless of how those customers are treated, the percentages are the same for any practical purposes.</w:t>
      </w:r>
    </w:p>
  </w:footnote>
  <w:footnote w:id="27">
    <w:p w:rsidR="002C2C20" w:rsidRDefault="002C2C20" w:rsidP="00FD127A">
      <w:pPr>
        <w:pStyle w:val="Footnote"/>
      </w:pPr>
      <w:r>
        <w:rPr>
          <w:rStyle w:val="FootnoteReference"/>
        </w:rPr>
        <w:footnoteRef/>
      </w:r>
      <w:r>
        <w:t xml:space="preserve"> Customers who dropped out earlier were excluded because they would not have experienced any SmartRate savings or losses in those months.</w:t>
      </w:r>
    </w:p>
  </w:footnote>
  <w:footnote w:id="28">
    <w:p w:rsidR="002C2C20" w:rsidRDefault="002C2C20" w:rsidP="00562A90">
      <w:pPr>
        <w:pStyle w:val="FootnoteText"/>
      </w:pPr>
      <w:r>
        <w:rPr>
          <w:rStyle w:val="FootnoteReference"/>
        </w:rPr>
        <w:footnoteRef/>
      </w:r>
      <w:r>
        <w:t xml:space="preserve"> </w:t>
      </w:r>
      <w:proofErr w:type="gramStart"/>
      <w:r w:rsidRPr="000E1B19">
        <w:rPr>
          <w:i/>
        </w:rPr>
        <w:t>Decision Adopting Local Procurement Obligations for 2012 and Further Refining the Resource Adequacy</w:t>
      </w:r>
      <w:r>
        <w:t>, D.11-06-022, p. 60, (June 23, 2011).</w:t>
      </w:r>
      <w:proofErr w:type="gramEnd"/>
    </w:p>
  </w:footnote>
  <w:footnote w:id="29">
    <w:p w:rsidR="002C2C20" w:rsidRPr="002B5283" w:rsidRDefault="002C2C20" w:rsidP="002B5283">
      <w:pPr>
        <w:pStyle w:val="FootnoteText"/>
        <w:rPr>
          <w:b/>
        </w:rPr>
      </w:pPr>
      <w:r>
        <w:rPr>
          <w:rStyle w:val="FootnoteReference"/>
        </w:rPr>
        <w:footnoteRef/>
      </w:r>
      <w:r>
        <w:t xml:space="preserve"> See “</w:t>
      </w:r>
      <w:r w:rsidRPr="002B5283">
        <w:t>2012 Load Impact Evaluation for Pacific Gas and Electric Company's SmartAC Program” prepared for PG&amp;E by the FSC Group.</w:t>
      </w:r>
    </w:p>
    <w:p w:rsidR="002C2C20" w:rsidRDefault="002C2C20">
      <w:pPr>
        <w:pStyle w:val="FootnoteText"/>
      </w:pPr>
    </w:p>
  </w:footnote>
  <w:footnote w:id="30">
    <w:p w:rsidR="002C2C20" w:rsidRDefault="002C2C20">
      <w:pPr>
        <w:pStyle w:val="FootnoteText"/>
      </w:pPr>
      <w:r>
        <w:rPr>
          <w:rStyle w:val="FootnoteReference"/>
        </w:rPr>
        <w:footnoteRef/>
      </w:r>
      <w:r>
        <w:t xml:space="preserve"> The method for estimation is discussed in the 2012 SmartAC evaluation (referenced previously).  The main issue is that there were only three SmartAC event days that were not SmartRate days, providing few observations of that population’s load impacts when SmartAC is called in absence of SmartRate.  </w:t>
      </w:r>
    </w:p>
  </w:footnote>
  <w:footnote w:id="31">
    <w:p w:rsidR="002C2C20" w:rsidRDefault="002C2C20" w:rsidP="00FD127A">
      <w:pPr>
        <w:pStyle w:val="Footnote"/>
      </w:pPr>
      <w:r>
        <w:rPr>
          <w:rStyle w:val="FootnoteReference"/>
        </w:rPr>
        <w:footnoteRef/>
      </w:r>
      <w:r>
        <w:t xml:space="preserve"> It is plausible that the price response to TOU could affect annual consumption, summer consumption and weather sensitivity, primarily because of reductions in air conditioner use that cannot be fully shifted to off-peak hours.  If so, including these variables in the matching process would lead to reference loads that are too low, leading to lower demand reduction </w:t>
      </w:r>
      <w:r w:rsidRPr="006106B0">
        <w:t>estimates</w:t>
      </w:r>
      <w:r>
        <w:t>.  As a result, the evaluation produces a potentially conservative estimate of the reductions.  However, given the substantial differences in annual electricity consumption by E-7 customers compared to E-1 customers, it was necessary to account for it.</w:t>
      </w:r>
    </w:p>
  </w:footnote>
  <w:footnote w:id="32">
    <w:p w:rsidR="002C2C20" w:rsidRDefault="002C2C20" w:rsidP="00FD127A">
      <w:pPr>
        <w:pStyle w:val="Footnote"/>
      </w:pPr>
      <w:r>
        <w:rPr>
          <w:rStyle w:val="FootnoteReference"/>
        </w:rPr>
        <w:footnoteRef/>
      </w:r>
      <w:r>
        <w:t xml:space="preserve"> Using regression allows this process to be quickly and easily automated.</w:t>
      </w:r>
    </w:p>
  </w:footnote>
  <w:footnote w:id="33">
    <w:p w:rsidR="002C2C20" w:rsidRDefault="002C2C20" w:rsidP="001E1C41">
      <w:pPr>
        <w:pStyle w:val="Footnote"/>
      </w:pPr>
      <w:r>
        <w:rPr>
          <w:rStyle w:val="FootnoteReference"/>
        </w:rPr>
        <w:footnoteRef/>
      </w:r>
      <w:r>
        <w:t xml:space="preserve"> </w:t>
      </w:r>
      <w:r w:rsidRPr="00663875">
        <w:t>The propensity score model is treated as producing the correct control group without error.  There is assumed to be no additional uncertainty due to the matching process itself.</w:t>
      </w:r>
      <w:r>
        <w:t xml:space="preserve"> </w:t>
      </w:r>
    </w:p>
  </w:footnote>
  <w:footnote w:id="34">
    <w:p w:rsidR="002C2C20" w:rsidRDefault="002C2C20">
      <w:pPr>
        <w:pStyle w:val="FootnoteText"/>
      </w:pPr>
      <w:r>
        <w:rPr>
          <w:rStyle w:val="FootnoteReference"/>
        </w:rPr>
        <w:footnoteRef/>
      </w:r>
      <w:r>
        <w:t xml:space="preserve"> E-7 customers have a peak period of 1-7 PM.  E-6 customers have a peak period of 12-6 PM. Because our sample is highly dominated by the more numerous E-6 customers, we have focused our ex post effort on that period, with the recognition that the inclusion of a relatively small number of E-7 customers in the estimation probably introduces some inaccuracy into the impact estimates during the hours 12-1 PM and 6-7 PM.  This inaccuracy is likely to be quite small given the small number of E-6 customers and the overall imprecision of the evaluation method.</w:t>
      </w:r>
    </w:p>
  </w:footnote>
  <w:footnote w:id="35">
    <w:p w:rsidR="002C2C20" w:rsidRDefault="002C2C20" w:rsidP="00D508AD">
      <w:pPr>
        <w:pStyle w:val="Footnote"/>
      </w:pPr>
      <w:r>
        <w:rPr>
          <w:rStyle w:val="FootnoteReference"/>
        </w:rPr>
        <w:footnoteRef/>
      </w:r>
      <w:r>
        <w:t xml:space="preserve"> This calculation is explained in detail in the next paragraph.</w:t>
      </w:r>
    </w:p>
  </w:footnote>
  <w:footnote w:id="36">
    <w:p w:rsidR="002C2C20" w:rsidRDefault="002C2C20" w:rsidP="00A02755">
      <w:pPr>
        <w:pStyle w:val="Footnote"/>
      </w:pPr>
      <w:r>
        <w:rPr>
          <w:rStyle w:val="FootnoteReference"/>
        </w:rPr>
        <w:footnoteRef/>
      </w:r>
      <w:r>
        <w:t xml:space="preserve"> This calculation is explained in detail in the next paragraph.</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pPr>
      <w:pStyle w:val="Header"/>
    </w:pPr>
    <w:r>
      <w:rPr>
        <w:noProof/>
      </w:rPr>
    </w:r>
    <w:r>
      <w:rPr>
        <w:noProof/>
      </w:rPr>
      <w:pict>
        <v:shapetype id="_x0000_t32" coordsize="21600,21600" o:spt="32" o:oned="t" path="m,l21600,21600e" filled="f">
          <v:path arrowok="t" fillok="f" o:connecttype="none"/>
          <o:lock v:ext="edit" shapetype="t"/>
        </v:shapetype>
        <v:shape id="AutoShape 12" o:spid="_x0000_s24588"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OoYs4o4AgAAdwQAAA4AAAAAAAAAAAAAAAAALgIA&#10;AGRycy9lMm9Eb2MueG1sUEsBAi0AFAAGAAgAAAAhAISJXbfWAAAAAgEAAA8AAAAAAAAAAAAAAAAA&#10;kgQAAGRycy9kb3ducmV2LnhtbFBLBQYAAAAABAAEAPMAAACVBQAAAAA=&#10;" strokecolor="#5f497a [2407]">
          <w10:anchorlock/>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5" o:spid="_x0000_s24581"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LlwL0s4AgAAdgQAAA4AAAAAAAAAAAAAAAAALgIA&#10;AGRycy9lMm9Eb2MueG1sUEsBAi0AFAAGAAgAAAAhAISJXbfWAAAAAgEAAA8AAAAAAAAAAAAAAAAA&#10;kgQAAGRycy9kb3ducmV2LnhtbFBLBQYAAAAABAAEAPMAAACVBQAAAAA=&#10;" strokecolor="#5f497a [2407]">
          <w10:wrap type="none"/>
          <w10:anchorlock/>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4" o:spid="_x0000_s24580" type="#_x0000_t32" style="width:653.6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" strokecolor="#5f497a [2407]">
          <w10:wrap type="none"/>
          <w10:anchorlock/>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3" o:spid="_x0000_s24579"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PY+zIE4AgAAdgQAAA4AAAAAAAAAAAAAAAAALgIA&#10;AGRycy9lMm9Eb2MueG1sUEsBAi0AFAAGAAgAAAAhAISJXbfWAAAAAgEAAA8AAAAAAAAAAAAAAAAA&#10;kgQAAGRycy9kb3ducmV2LnhtbFBLBQYAAAAABAAEAPMAAACVBQAAAAA=&#10;" strokecolor="#5f497a [2407]">
          <w10:wrap type="none"/>
          <w10:anchorlock/>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2" o:spid="_x0000_s24578"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" strokecolor="#5f497a [2407]">
          <w10:wrap type="none"/>
          <w10:anchorlock/>
        </v:shape>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1" o:spid="_x0000_s24577"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" strokecolor="#5f497a [2407]">
          <w10:wrap type="none"/>
          <w10:anchorlock/>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2C2C20" w:rsidP="00DB35F9">
    <w:pPr>
      <w:pStyle w:val="Header"/>
      <w:tabs>
        <w:tab w:val="left" w:pos="360"/>
        <w:tab w:val="left" w:pos="8910"/>
        <w:tab w:val="left" w:pos="9000"/>
      </w:tabs>
    </w:pPr>
    <w:r w:rsidRPr="00EB2941">
      <w:rPr>
        <w:noProof/>
      </w:rPr>
      <w:drawing>
        <wp:inline distT="0" distB="0" distL="0" distR="0">
          <wp:extent cx="4274185" cy="690880"/>
          <wp:effectExtent l="19050" t="0" r="0" b="0"/>
          <wp:docPr id="8" name="Picture 1" descr="FSC Logo NEW PURPL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C Logo NEW PURPLE 2007"/>
                  <pic:cNvPicPr>
                    <a:picLocks noChangeAspect="1" noChangeArrowheads="1"/>
                  </pic:cNvPicPr>
                </pic:nvPicPr>
                <pic:blipFill>
                  <a:blip r:embed="rId1" cstate="print"/>
                  <a:srcRect t="21506"/>
                  <a:stretch>
                    <a:fillRect/>
                  </a:stretch>
                </pic:blipFill>
                <pic:spPr bwMode="auto">
                  <a:xfrm>
                    <a:off x="0" y="0"/>
                    <a:ext cx="4274185" cy="690880"/>
                  </a:xfrm>
                  <a:prstGeom prst="rect">
                    <a:avLst/>
                  </a:prstGeom>
                  <a:noFill/>
                  <a:ln w="9525">
                    <a:noFill/>
                    <a:miter lim="800000"/>
                    <a:headEnd/>
                    <a:tailEnd/>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11" o:spid="_x0000_s24587"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" strokecolor="#5f497a [2407]">
          <w10:wrap type="none"/>
          <w10:anchorlock/>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2C2C20" w:rsidP="00B50663">
    <w:pPr>
      <w:pStyle w:val="Header"/>
      <w:jc w:val="center"/>
    </w:pPr>
    <w:r w:rsidRPr="00E92F4E">
      <w:rPr>
        <w:noProof/>
      </w:rPr>
      <w:drawing>
        <wp:inline distT="0" distB="0" distL="0" distR="0">
          <wp:extent cx="2243455" cy="999490"/>
          <wp:effectExtent l="19050" t="0" r="444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2243455" cy="999490"/>
                  </a:xfrm>
                  <a:prstGeom prst="rect">
                    <a:avLst/>
                  </a:prstGeom>
                  <a:noFill/>
                  <a:ln w="9525">
                    <a:noFill/>
                    <a:miter lim="800000"/>
                    <a:headEnd/>
                    <a:tailEnd/>
                  </a:ln>
                </pic:spPr>
              </pic:pic>
            </a:graphicData>
          </a:graphic>
        </wp:inline>
      </w:drawing>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10" o:spid="_x0000_s24586" type="#_x0000_t32" style="width:655.7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" strokecolor="#5f497a [2407]">
          <w10:wrap type="none"/>
          <w10:anchorlock/>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9" o:spid="_x0000_s24585"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" strokecolor="#5f497a [2407]">
          <w10:wrap type="none"/>
          <w10:anchorlock/>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8" o:spid="_x0000_s24584" type="#_x0000_t32" style="width:647.6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" strokecolor="#5f497a [2407]">
          <w10:wrap type="none"/>
          <w10:anchorlock/>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DB35F9">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AutoShape 7" o:spid="_x0000_s24583" type="#_x0000_t32" style="width:473.8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" strokecolor="#5f497a [2407]">
          <w10:wrap type="none"/>
          <w10:anchorlock/>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C20" w:rsidRDefault="00071D48" w:rsidP="00364C9D">
    <w:pPr>
      <w:pStyle w:val="Header"/>
      <w:tabs>
        <w:tab w:val="left" w:pos="360"/>
        <w:tab w:val="left" w:pos="8910"/>
        <w:tab w:val="left" w:pos="9000"/>
      </w:tabs>
    </w:pPr>
    <w:r>
      <w:rPr>
        <w:noProof/>
      </w:rPr>
    </w:r>
    <w:r>
      <w:rPr>
        <w:noProof/>
      </w:rPr>
      <w:pict>
        <v:shapetype id="_x0000_t32" coordsize="21600,21600" o:spt="32" o:oned="t" path="m,l21600,21600e" filled="f">
          <v:path arrowok="t" fillok="f" o:connecttype="none"/>
          <o:lock v:ext="edit" shapetype="t"/>
        </v:shapetype>
        <v:shape id="_x0000_s24582" type="#_x0000_t32" style="width:651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" strokecolor="#5f497a">
          <w10:wrap type="none"/>
          <w10:anchorlock/>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08E2B4C"/>
    <w:lvl w:ilvl="0">
      <w:start w:val="1"/>
      <w:numFmt w:val="decimal"/>
      <w:lvlText w:val="%1."/>
      <w:lvlJc w:val="left"/>
      <w:pPr>
        <w:tabs>
          <w:tab w:val="num" w:pos="1800"/>
        </w:tabs>
        <w:ind w:left="1800" w:hanging="360"/>
      </w:pPr>
    </w:lvl>
  </w:abstractNum>
  <w:abstractNum w:abstractNumId="1">
    <w:nsid w:val="FFFFFF7D"/>
    <w:multiLevelType w:val="singleLevel"/>
    <w:tmpl w:val="886887A8"/>
    <w:lvl w:ilvl="0">
      <w:start w:val="1"/>
      <w:numFmt w:val="decimal"/>
      <w:lvlText w:val="%1."/>
      <w:lvlJc w:val="left"/>
      <w:pPr>
        <w:tabs>
          <w:tab w:val="num" w:pos="1440"/>
        </w:tabs>
        <w:ind w:left="1440" w:hanging="360"/>
      </w:pPr>
    </w:lvl>
  </w:abstractNum>
  <w:abstractNum w:abstractNumId="2">
    <w:nsid w:val="FFFFFF7E"/>
    <w:multiLevelType w:val="singleLevel"/>
    <w:tmpl w:val="9098B4F6"/>
    <w:lvl w:ilvl="0">
      <w:start w:val="1"/>
      <w:numFmt w:val="decimal"/>
      <w:lvlText w:val="%1."/>
      <w:lvlJc w:val="left"/>
      <w:pPr>
        <w:tabs>
          <w:tab w:val="num" w:pos="1080"/>
        </w:tabs>
        <w:ind w:left="1080" w:hanging="360"/>
      </w:pPr>
    </w:lvl>
  </w:abstractNum>
  <w:abstractNum w:abstractNumId="3">
    <w:nsid w:val="FFFFFF7F"/>
    <w:multiLevelType w:val="singleLevel"/>
    <w:tmpl w:val="26E213F6"/>
    <w:lvl w:ilvl="0">
      <w:start w:val="1"/>
      <w:numFmt w:val="decimal"/>
      <w:lvlText w:val="%1."/>
      <w:lvlJc w:val="left"/>
      <w:pPr>
        <w:tabs>
          <w:tab w:val="num" w:pos="720"/>
        </w:tabs>
        <w:ind w:left="720" w:hanging="360"/>
      </w:pPr>
    </w:lvl>
  </w:abstractNum>
  <w:abstractNum w:abstractNumId="4">
    <w:nsid w:val="FFFFFF80"/>
    <w:multiLevelType w:val="singleLevel"/>
    <w:tmpl w:val="C6BCA5C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C814368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F4AA69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72E2E82E"/>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BC6E34A"/>
    <w:lvl w:ilvl="0">
      <w:start w:val="1"/>
      <w:numFmt w:val="decimal"/>
      <w:lvlText w:val="%1."/>
      <w:lvlJc w:val="left"/>
      <w:pPr>
        <w:tabs>
          <w:tab w:val="num" w:pos="360"/>
        </w:tabs>
        <w:ind w:left="360" w:hanging="360"/>
      </w:pPr>
    </w:lvl>
  </w:abstractNum>
  <w:abstractNum w:abstractNumId="9">
    <w:nsid w:val="FFFFFF89"/>
    <w:multiLevelType w:val="singleLevel"/>
    <w:tmpl w:val="FD02DFE8"/>
    <w:lvl w:ilvl="0">
      <w:start w:val="1"/>
      <w:numFmt w:val="bullet"/>
      <w:lvlText w:val=""/>
      <w:lvlJc w:val="left"/>
      <w:pPr>
        <w:tabs>
          <w:tab w:val="num" w:pos="360"/>
        </w:tabs>
        <w:ind w:left="360" w:hanging="360"/>
      </w:pPr>
      <w:rPr>
        <w:rFonts w:ascii="Symbol" w:hAnsi="Symbol" w:hint="default"/>
      </w:rPr>
    </w:lvl>
  </w:abstractNum>
  <w:abstractNum w:abstractNumId="10">
    <w:nsid w:val="062F5674"/>
    <w:multiLevelType w:val="hybridMultilevel"/>
    <w:tmpl w:val="652A9A1E"/>
    <w:lvl w:ilvl="0" w:tplc="F5241B0E">
      <w:start w:val="6"/>
      <w:numFmt w:val="decimal"/>
      <w:pStyle w:val="NumbersLas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96A593E"/>
    <w:multiLevelType w:val="hybridMultilevel"/>
    <w:tmpl w:val="BF0CB3C6"/>
    <w:lvl w:ilvl="0" w:tplc="4A6091AE">
      <w:start w:val="1"/>
      <w:numFmt w:val="bullet"/>
      <w:pStyle w:val="Bullets"/>
      <w:lvlText w:val=""/>
      <w:lvlJc w:val="left"/>
      <w:pPr>
        <w:tabs>
          <w:tab w:val="num" w:pos="720"/>
        </w:tabs>
        <w:ind w:left="720" w:hanging="360"/>
      </w:pPr>
      <w:rPr>
        <w:rFonts w:ascii="Wingdings" w:hAnsi="Wingdings" w:hint="default"/>
        <w:color w:val="433B67"/>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A7561E2"/>
    <w:multiLevelType w:val="hybridMultilevel"/>
    <w:tmpl w:val="6F6C1304"/>
    <w:lvl w:ilvl="0" w:tplc="FB1E35EA">
      <w:start w:val="1"/>
      <w:numFmt w:val="decimal"/>
      <w:pStyle w:val="Numbers"/>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6087663"/>
    <w:multiLevelType w:val="hybridMultilevel"/>
    <w:tmpl w:val="E5720B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9FC1937"/>
    <w:multiLevelType w:val="multilevel"/>
    <w:tmpl w:val="2FDA25A0"/>
    <w:lvl w:ilvl="0">
      <w:start w:val="2"/>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5">
    <w:nsid w:val="260E263D"/>
    <w:multiLevelType w:val="multilevel"/>
    <w:tmpl w:val="E6A26B6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nsid w:val="27466AB5"/>
    <w:multiLevelType w:val="multilevel"/>
    <w:tmpl w:val="6B2CD62E"/>
    <w:styleLink w:val="NumberedSteps"/>
    <w:lvl w:ilvl="0">
      <w:start w:val="1"/>
      <w:numFmt w:val="decimal"/>
      <w:lvlText w:val="%1"/>
      <w:lvlJc w:val="left"/>
      <w:pPr>
        <w:tabs>
          <w:tab w:val="num" w:pos="720"/>
        </w:tabs>
        <w:ind w:left="720" w:hanging="360"/>
      </w:pPr>
      <w:rPr>
        <w:rFonts w:ascii="Arial" w:hAnsi="Arial"/>
        <w:dstrike w:val="0"/>
        <w:color w:val="auto"/>
        <w:sz w:val="22"/>
        <w:vertAlign w:val="base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3D482C60"/>
    <w:multiLevelType w:val="hybridMultilevel"/>
    <w:tmpl w:val="349814B0"/>
    <w:lvl w:ilvl="0" w:tplc="D320F608">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
    <w:nsid w:val="3D9F3E34"/>
    <w:multiLevelType w:val="hybridMultilevel"/>
    <w:tmpl w:val="2D7EB276"/>
    <w:lvl w:ilvl="0" w:tplc="D320F608">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49133339"/>
    <w:multiLevelType w:val="hybridMultilevel"/>
    <w:tmpl w:val="46C46478"/>
    <w:lvl w:ilvl="0" w:tplc="D320F608">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nsid w:val="4A6426F7"/>
    <w:multiLevelType w:val="hybridMultilevel"/>
    <w:tmpl w:val="FBF8003C"/>
    <w:lvl w:ilvl="0" w:tplc="D320F608">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64497E68"/>
    <w:multiLevelType w:val="multilevel"/>
    <w:tmpl w:val="86C6C620"/>
    <w:lvl w:ilvl="0">
      <w:start w:val="1"/>
      <w:numFmt w:val="upperLetter"/>
      <w:pStyle w:val="AppendixHeading"/>
      <w:lvlText w:val="Appendix %1"/>
      <w:lvlJc w:val="left"/>
      <w:pPr>
        <w:ind w:left="360" w:hanging="360"/>
      </w:pPr>
      <w:rPr>
        <w:rFonts w:ascii="Arial" w:hAnsi="Arial" w:cs="Arial" w:hint="default"/>
        <w:b w:val="0"/>
        <w:bCs w:val="0"/>
        <w:i w:val="0"/>
        <w:iCs w:val="0"/>
        <w:caps w:val="0"/>
        <w:smallCaps w:val="0"/>
        <w:strike w:val="0"/>
        <w:dstrike w:val="0"/>
        <w:noProof w:val="0"/>
        <w:snapToGrid w:val="0"/>
        <w:vanish w:val="0"/>
        <w:color w:val="403152" w:themeColor="accent4" w:themeShade="80"/>
        <w:spacing w:val="0"/>
        <w:w w:val="0"/>
        <w:kern w:val="0"/>
        <w:position w:val="0"/>
        <w:szCs w:val="0"/>
        <w:u w:val="none"/>
        <w:vertAlign w:val="baseline"/>
        <w:em w:val="none"/>
      </w:rPr>
    </w:lvl>
    <w:lvl w:ilvl="1">
      <w:start w:val="1"/>
      <w:numFmt w:val="decimal"/>
      <w:pStyle w:val="AppendixHeading2"/>
      <w:lvlText w:val="%1.%2"/>
      <w:lvlJc w:val="left"/>
      <w:pPr>
        <w:ind w:left="882" w:hanging="432"/>
      </w:pPr>
      <w:rPr>
        <w:rFonts w:ascii="Verdana" w:hAnsi="Verdana" w:cs="Arial" w:hint="default"/>
        <w:b/>
        <w:bCs w:val="0"/>
        <w:i w:val="0"/>
        <w:iCs w:val="0"/>
        <w:caps w:val="0"/>
        <w:smallCaps w:val="0"/>
        <w:strike w:val="0"/>
        <w:dstrike w:val="0"/>
        <w:noProof w:val="0"/>
        <w:snapToGrid w:val="0"/>
        <w:vanish w:val="0"/>
        <w:color w:val="403152" w:themeColor="accent4" w:themeShade="80"/>
        <w:spacing w:val="0"/>
        <w:w w:val="0"/>
        <w:kern w:val="0"/>
        <w:position w:val="0"/>
        <w:szCs w:val="0"/>
        <w:u w:val="none"/>
        <w:vertAlign w:val="baseline"/>
        <w:em w:val="none"/>
      </w:rPr>
    </w:lvl>
    <w:lvl w:ilvl="2">
      <w:start w:val="1"/>
      <w:numFmt w:val="decimal"/>
      <w:pStyle w:val="AppendixHeading3"/>
      <w:lvlText w:val="%1.%2.%3"/>
      <w:lvlJc w:val="left"/>
      <w:pPr>
        <w:ind w:left="1494" w:hanging="504"/>
      </w:pPr>
      <w:rPr>
        <w:rFonts w:ascii="Verdana" w:hAnsi="Verdana" w:cs="Arial" w:hint="default"/>
        <w:b/>
        <w:bCs w:val="0"/>
        <w:i w:val="0"/>
        <w:iCs w:val="0"/>
        <w:caps w:val="0"/>
        <w:smallCaps w:val="0"/>
        <w:strike w:val="0"/>
        <w:dstrike w:val="0"/>
        <w:noProof w:val="0"/>
        <w:snapToGrid w:val="0"/>
        <w:vanish w:val="0"/>
        <w:color w:val="403152" w:themeColor="accent4" w:themeShade="80"/>
        <w:spacing w:val="0"/>
        <w:w w:val="0"/>
        <w:kern w:val="0"/>
        <w:position w:val="0"/>
        <w:sz w:val="26"/>
        <w:szCs w:val="26"/>
        <w:u w:val="none"/>
        <w:vertAlign w:val="baseline"/>
        <w:em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6D0F2EE8"/>
    <w:multiLevelType w:val="multilevel"/>
    <w:tmpl w:val="9F68006A"/>
    <w:styleLink w:val="Numbered"/>
    <w:lvl w:ilvl="0">
      <w:start w:val="1"/>
      <w:numFmt w:val="decimal"/>
      <w:lvlText w:val="%1"/>
      <w:lvlJc w:val="left"/>
      <w:pPr>
        <w:tabs>
          <w:tab w:val="num" w:pos="720"/>
        </w:tabs>
        <w:ind w:left="720" w:hanging="360"/>
      </w:pPr>
      <w:rPr>
        <w:rFonts w:ascii="Arial" w:hAnsi="Arial"/>
        <w:dstrike w:val="0"/>
        <w:color w:val="000000" w:themeColor="text1"/>
        <w:sz w:val="22"/>
        <w:vertAlign w:val="baseline"/>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72B67E72"/>
    <w:multiLevelType w:val="hybridMultilevel"/>
    <w:tmpl w:val="61183102"/>
    <w:lvl w:ilvl="0" w:tplc="0409000F">
      <w:start w:val="1"/>
      <w:numFmt w:val="decimal"/>
      <w:lvlText w:val="%1."/>
      <w:lvlJc w:val="left"/>
      <w:pPr>
        <w:tabs>
          <w:tab w:val="num" w:pos="720"/>
        </w:tabs>
        <w:ind w:left="720" w:hanging="360"/>
      </w:pPr>
      <w:rPr>
        <w:rFonts w:hint="default"/>
        <w:color w:val="433B67"/>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1"/>
  </w:num>
  <w:num w:numId="3">
    <w:abstractNumId w:val="15"/>
  </w:num>
  <w:num w:numId="4">
    <w:abstractNumId w:val="22"/>
  </w:num>
  <w:num w:numId="5">
    <w:abstractNumId w:val="16"/>
  </w:num>
  <w:num w:numId="6">
    <w:abstractNumId w:val="12"/>
  </w:num>
  <w:num w:numId="7">
    <w:abstractNumId w:val="10"/>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8"/>
  </w:num>
  <w:num w:numId="20">
    <w:abstractNumId w:val="17"/>
  </w:num>
  <w:num w:numId="21">
    <w:abstractNumId w:val="19"/>
  </w:num>
  <w:num w:numId="22">
    <w:abstractNumId w:val="14"/>
  </w:num>
  <w:num w:numId="23">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num>
  <w:num w:numId="25">
    <w:abstractNumId w:val="23"/>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stylePaneFormatFilter w:val="1021"/>
  <w:stylePaneSortMethod w:val="0000"/>
  <w:defaultTabStop w:val="720"/>
  <w:drawingGridHorizontalSpacing w:val="110"/>
  <w:displayHorizontalDrawingGridEvery w:val="2"/>
  <w:characterSpacingControl w:val="doNotCompress"/>
  <w:hdrShapeDefaults>
    <o:shapedefaults v:ext="edit" spidmax="24589" fillcolor="none [3207]" strokecolor="none [3041]">
      <v:fill color="none [3207]"/>
      <v:stroke color="none [3041]" weight="3pt"/>
      <v:shadow on="t" type="perspective" color="none [1607]" opacity=".5" offset="1pt" offset2="-1pt"/>
      <o:colormenu v:ext="edit" strokecolor="none" shadowcolor="none"/>
    </o:shapedefaults>
    <o:shapelayout v:ext="edit">
      <o:idmap v:ext="edit" data="24"/>
      <o:rules v:ext="edit">
        <o:r id="V:Rule11" type="connector" idref="#AutoShape 2"/>
        <o:r id="V:Rule13" type="connector" idref="#AutoShape 12"/>
        <o:r id="V:Rule14" type="connector" idref="#AutoShape 4"/>
        <o:r id="V:Rule15" type="connector" idref="#AutoShape 10"/>
        <o:r id="V:Rule16" type="connector" idref="#_x0000_s24582"/>
        <o:r id="V:Rule17" type="connector" idref="#AutoShape 11"/>
        <o:r id="V:Rule18" type="connector" idref="#AutoShape 5"/>
        <o:r id="V:Rule19" type="connector" idref="#AutoShape 3"/>
        <o:r id="V:Rule20" type="connector" idref="#AutoShape 1"/>
        <o:r id="V:Rule21" type="connector" idref="#AutoShape 9"/>
        <o:r id="V:Rule22" type="connector" idref="#AutoShape 7"/>
        <o:r id="V:Rule23" type="connector" idref="#AutoShape 8"/>
      </o:rules>
    </o:shapelayout>
  </w:hdrShapeDefaults>
  <w:footnotePr>
    <w:footnote w:id="-1"/>
    <w:footnote w:id="0"/>
  </w:footnotePr>
  <w:endnotePr>
    <w:endnote w:id="-1"/>
    <w:endnote w:id="0"/>
  </w:endnotePr>
  <w:compat/>
  <w:rsids>
    <w:rsidRoot w:val="00701E06"/>
    <w:rsid w:val="00000EEA"/>
    <w:rsid w:val="00011830"/>
    <w:rsid w:val="00012BDB"/>
    <w:rsid w:val="000148EA"/>
    <w:rsid w:val="00014A86"/>
    <w:rsid w:val="00017875"/>
    <w:rsid w:val="00020BC6"/>
    <w:rsid w:val="0005598B"/>
    <w:rsid w:val="0006172C"/>
    <w:rsid w:val="00065459"/>
    <w:rsid w:val="0006790E"/>
    <w:rsid w:val="00071D48"/>
    <w:rsid w:val="00096C30"/>
    <w:rsid w:val="000A251B"/>
    <w:rsid w:val="000A25EF"/>
    <w:rsid w:val="000A49BA"/>
    <w:rsid w:val="000C5046"/>
    <w:rsid w:val="00102328"/>
    <w:rsid w:val="00105250"/>
    <w:rsid w:val="00106598"/>
    <w:rsid w:val="00107177"/>
    <w:rsid w:val="00117454"/>
    <w:rsid w:val="00131DE3"/>
    <w:rsid w:val="00134D4B"/>
    <w:rsid w:val="00137F86"/>
    <w:rsid w:val="00142ACF"/>
    <w:rsid w:val="00150E54"/>
    <w:rsid w:val="00157BFA"/>
    <w:rsid w:val="001622B7"/>
    <w:rsid w:val="00163508"/>
    <w:rsid w:val="001739A4"/>
    <w:rsid w:val="00181EEC"/>
    <w:rsid w:val="00190460"/>
    <w:rsid w:val="00192CF8"/>
    <w:rsid w:val="00195B50"/>
    <w:rsid w:val="001A3C3D"/>
    <w:rsid w:val="001A71A9"/>
    <w:rsid w:val="001B0ACB"/>
    <w:rsid w:val="001B352B"/>
    <w:rsid w:val="001B43DF"/>
    <w:rsid w:val="001C0110"/>
    <w:rsid w:val="001C1F7B"/>
    <w:rsid w:val="001C4D58"/>
    <w:rsid w:val="001E1C41"/>
    <w:rsid w:val="001E35A3"/>
    <w:rsid w:val="001E4F10"/>
    <w:rsid w:val="001E7B77"/>
    <w:rsid w:val="002009F0"/>
    <w:rsid w:val="002077EA"/>
    <w:rsid w:val="00210013"/>
    <w:rsid w:val="00213694"/>
    <w:rsid w:val="00231334"/>
    <w:rsid w:val="00237859"/>
    <w:rsid w:val="002417E6"/>
    <w:rsid w:val="0024215A"/>
    <w:rsid w:val="002436C1"/>
    <w:rsid w:val="0024441D"/>
    <w:rsid w:val="00251679"/>
    <w:rsid w:val="00252FAF"/>
    <w:rsid w:val="00254844"/>
    <w:rsid w:val="00266B11"/>
    <w:rsid w:val="002711B4"/>
    <w:rsid w:val="00272C6A"/>
    <w:rsid w:val="00280766"/>
    <w:rsid w:val="00280947"/>
    <w:rsid w:val="002842C9"/>
    <w:rsid w:val="0028548F"/>
    <w:rsid w:val="00295FC8"/>
    <w:rsid w:val="002A1628"/>
    <w:rsid w:val="002A56EA"/>
    <w:rsid w:val="002A6B02"/>
    <w:rsid w:val="002B0980"/>
    <w:rsid w:val="002B35A0"/>
    <w:rsid w:val="002B5283"/>
    <w:rsid w:val="002B6065"/>
    <w:rsid w:val="002C126F"/>
    <w:rsid w:val="002C2C20"/>
    <w:rsid w:val="002C5BF9"/>
    <w:rsid w:val="002C6227"/>
    <w:rsid w:val="002D3778"/>
    <w:rsid w:val="002E27BD"/>
    <w:rsid w:val="002F609B"/>
    <w:rsid w:val="00305437"/>
    <w:rsid w:val="003076DE"/>
    <w:rsid w:val="00312AB8"/>
    <w:rsid w:val="00313B12"/>
    <w:rsid w:val="0033019C"/>
    <w:rsid w:val="00334712"/>
    <w:rsid w:val="00344C3B"/>
    <w:rsid w:val="00345672"/>
    <w:rsid w:val="0035126D"/>
    <w:rsid w:val="00355FB9"/>
    <w:rsid w:val="0036226B"/>
    <w:rsid w:val="00364C9D"/>
    <w:rsid w:val="00365361"/>
    <w:rsid w:val="003719C1"/>
    <w:rsid w:val="003745B3"/>
    <w:rsid w:val="00381727"/>
    <w:rsid w:val="00385706"/>
    <w:rsid w:val="00387990"/>
    <w:rsid w:val="00393B5B"/>
    <w:rsid w:val="00397282"/>
    <w:rsid w:val="003A0F85"/>
    <w:rsid w:val="003A4BA1"/>
    <w:rsid w:val="003C2457"/>
    <w:rsid w:val="003C64CF"/>
    <w:rsid w:val="003D68A0"/>
    <w:rsid w:val="003D7D29"/>
    <w:rsid w:val="003E2E3C"/>
    <w:rsid w:val="003E43D8"/>
    <w:rsid w:val="004000AF"/>
    <w:rsid w:val="00423629"/>
    <w:rsid w:val="0042739D"/>
    <w:rsid w:val="00435338"/>
    <w:rsid w:val="00436018"/>
    <w:rsid w:val="004402F1"/>
    <w:rsid w:val="00441A01"/>
    <w:rsid w:val="0045539A"/>
    <w:rsid w:val="0046277A"/>
    <w:rsid w:val="00465359"/>
    <w:rsid w:val="00474C71"/>
    <w:rsid w:val="00492492"/>
    <w:rsid w:val="004973DB"/>
    <w:rsid w:val="004A0426"/>
    <w:rsid w:val="004A123C"/>
    <w:rsid w:val="004A1B2F"/>
    <w:rsid w:val="004E5D3E"/>
    <w:rsid w:val="004F3546"/>
    <w:rsid w:val="004F50A8"/>
    <w:rsid w:val="00504474"/>
    <w:rsid w:val="005164EE"/>
    <w:rsid w:val="005264A2"/>
    <w:rsid w:val="00533ECF"/>
    <w:rsid w:val="00562606"/>
    <w:rsid w:val="00562A90"/>
    <w:rsid w:val="00565A04"/>
    <w:rsid w:val="00567DE9"/>
    <w:rsid w:val="0057063E"/>
    <w:rsid w:val="00577956"/>
    <w:rsid w:val="00585F27"/>
    <w:rsid w:val="00596CA9"/>
    <w:rsid w:val="005972F6"/>
    <w:rsid w:val="005A19F9"/>
    <w:rsid w:val="005A5513"/>
    <w:rsid w:val="005C0088"/>
    <w:rsid w:val="005D003F"/>
    <w:rsid w:val="005E18C3"/>
    <w:rsid w:val="005E1A52"/>
    <w:rsid w:val="005F2B69"/>
    <w:rsid w:val="00612923"/>
    <w:rsid w:val="006136B4"/>
    <w:rsid w:val="00620BC7"/>
    <w:rsid w:val="006331D6"/>
    <w:rsid w:val="00634B58"/>
    <w:rsid w:val="00635DFC"/>
    <w:rsid w:val="00637598"/>
    <w:rsid w:val="00643798"/>
    <w:rsid w:val="006455A7"/>
    <w:rsid w:val="00652E72"/>
    <w:rsid w:val="00670B09"/>
    <w:rsid w:val="006717E3"/>
    <w:rsid w:val="00680A25"/>
    <w:rsid w:val="006833F2"/>
    <w:rsid w:val="0068553C"/>
    <w:rsid w:val="00685B44"/>
    <w:rsid w:val="0069109E"/>
    <w:rsid w:val="006947D9"/>
    <w:rsid w:val="006A61DE"/>
    <w:rsid w:val="006B0705"/>
    <w:rsid w:val="006D2A35"/>
    <w:rsid w:val="006D7EBA"/>
    <w:rsid w:val="006F3904"/>
    <w:rsid w:val="006F4150"/>
    <w:rsid w:val="00701E06"/>
    <w:rsid w:val="00702A03"/>
    <w:rsid w:val="0071105E"/>
    <w:rsid w:val="00717FCF"/>
    <w:rsid w:val="00721E89"/>
    <w:rsid w:val="007336EB"/>
    <w:rsid w:val="00740C17"/>
    <w:rsid w:val="00752687"/>
    <w:rsid w:val="007549A8"/>
    <w:rsid w:val="00757FE6"/>
    <w:rsid w:val="007606E1"/>
    <w:rsid w:val="00761C52"/>
    <w:rsid w:val="00762BA8"/>
    <w:rsid w:val="00766E1A"/>
    <w:rsid w:val="007715BA"/>
    <w:rsid w:val="007773AB"/>
    <w:rsid w:val="007C29F6"/>
    <w:rsid w:val="007C3A6C"/>
    <w:rsid w:val="007E0A68"/>
    <w:rsid w:val="007E648F"/>
    <w:rsid w:val="007F078B"/>
    <w:rsid w:val="007F19E2"/>
    <w:rsid w:val="007F27A0"/>
    <w:rsid w:val="007F46B7"/>
    <w:rsid w:val="00805EF3"/>
    <w:rsid w:val="00824815"/>
    <w:rsid w:val="00832B87"/>
    <w:rsid w:val="00833E7B"/>
    <w:rsid w:val="008371D1"/>
    <w:rsid w:val="0084569F"/>
    <w:rsid w:val="00850D16"/>
    <w:rsid w:val="00852826"/>
    <w:rsid w:val="0085403D"/>
    <w:rsid w:val="00860A9C"/>
    <w:rsid w:val="00861DFD"/>
    <w:rsid w:val="0086631C"/>
    <w:rsid w:val="008663F8"/>
    <w:rsid w:val="008702A8"/>
    <w:rsid w:val="00871858"/>
    <w:rsid w:val="00872170"/>
    <w:rsid w:val="008739DA"/>
    <w:rsid w:val="00875B70"/>
    <w:rsid w:val="00877FD0"/>
    <w:rsid w:val="00882C5C"/>
    <w:rsid w:val="008851C7"/>
    <w:rsid w:val="00891B6B"/>
    <w:rsid w:val="008928C9"/>
    <w:rsid w:val="00895024"/>
    <w:rsid w:val="008A79EA"/>
    <w:rsid w:val="008C2D62"/>
    <w:rsid w:val="008D24B3"/>
    <w:rsid w:val="008E6E4B"/>
    <w:rsid w:val="008F54A5"/>
    <w:rsid w:val="008F70AD"/>
    <w:rsid w:val="00900A01"/>
    <w:rsid w:val="009056AB"/>
    <w:rsid w:val="009063B1"/>
    <w:rsid w:val="00911840"/>
    <w:rsid w:val="00913B1F"/>
    <w:rsid w:val="00931F6D"/>
    <w:rsid w:val="0093248C"/>
    <w:rsid w:val="0094682C"/>
    <w:rsid w:val="00952734"/>
    <w:rsid w:val="00957435"/>
    <w:rsid w:val="00966CCE"/>
    <w:rsid w:val="009832E2"/>
    <w:rsid w:val="00983503"/>
    <w:rsid w:val="00993AB7"/>
    <w:rsid w:val="00997813"/>
    <w:rsid w:val="009B04E3"/>
    <w:rsid w:val="009B1FE8"/>
    <w:rsid w:val="009C0139"/>
    <w:rsid w:val="009E21D7"/>
    <w:rsid w:val="009E3F2C"/>
    <w:rsid w:val="009E6269"/>
    <w:rsid w:val="00A02755"/>
    <w:rsid w:val="00A02776"/>
    <w:rsid w:val="00A06530"/>
    <w:rsid w:val="00A13AE8"/>
    <w:rsid w:val="00A22ACF"/>
    <w:rsid w:val="00A24367"/>
    <w:rsid w:val="00A33317"/>
    <w:rsid w:val="00A40B9A"/>
    <w:rsid w:val="00A53378"/>
    <w:rsid w:val="00A53895"/>
    <w:rsid w:val="00A55571"/>
    <w:rsid w:val="00A6555F"/>
    <w:rsid w:val="00A65D57"/>
    <w:rsid w:val="00A80BCA"/>
    <w:rsid w:val="00A8324D"/>
    <w:rsid w:val="00A87662"/>
    <w:rsid w:val="00A97D47"/>
    <w:rsid w:val="00AA59EE"/>
    <w:rsid w:val="00AB0FBC"/>
    <w:rsid w:val="00AB380F"/>
    <w:rsid w:val="00AC05DB"/>
    <w:rsid w:val="00AC3023"/>
    <w:rsid w:val="00AD194B"/>
    <w:rsid w:val="00AD4F9A"/>
    <w:rsid w:val="00AE5A8D"/>
    <w:rsid w:val="00AE636A"/>
    <w:rsid w:val="00AF48BA"/>
    <w:rsid w:val="00AF626D"/>
    <w:rsid w:val="00B07122"/>
    <w:rsid w:val="00B07EFB"/>
    <w:rsid w:val="00B07F5F"/>
    <w:rsid w:val="00B32F91"/>
    <w:rsid w:val="00B34237"/>
    <w:rsid w:val="00B43025"/>
    <w:rsid w:val="00B43043"/>
    <w:rsid w:val="00B44D84"/>
    <w:rsid w:val="00B50663"/>
    <w:rsid w:val="00B56C0C"/>
    <w:rsid w:val="00B61C9E"/>
    <w:rsid w:val="00B66A1C"/>
    <w:rsid w:val="00B77AF8"/>
    <w:rsid w:val="00B77CB0"/>
    <w:rsid w:val="00B86C76"/>
    <w:rsid w:val="00B931F8"/>
    <w:rsid w:val="00BA2E6F"/>
    <w:rsid w:val="00BA323B"/>
    <w:rsid w:val="00BA3459"/>
    <w:rsid w:val="00BA540E"/>
    <w:rsid w:val="00BB28C6"/>
    <w:rsid w:val="00BC02C6"/>
    <w:rsid w:val="00BC1519"/>
    <w:rsid w:val="00BC2ABB"/>
    <w:rsid w:val="00BC7E9F"/>
    <w:rsid w:val="00BD382F"/>
    <w:rsid w:val="00BD6DA7"/>
    <w:rsid w:val="00BE47B3"/>
    <w:rsid w:val="00BF076A"/>
    <w:rsid w:val="00BF3ED7"/>
    <w:rsid w:val="00C003A1"/>
    <w:rsid w:val="00C008DB"/>
    <w:rsid w:val="00C053C2"/>
    <w:rsid w:val="00C07873"/>
    <w:rsid w:val="00C2287B"/>
    <w:rsid w:val="00C312F6"/>
    <w:rsid w:val="00C33F08"/>
    <w:rsid w:val="00C6146A"/>
    <w:rsid w:val="00C623D7"/>
    <w:rsid w:val="00C66141"/>
    <w:rsid w:val="00C81EFB"/>
    <w:rsid w:val="00C81F2C"/>
    <w:rsid w:val="00C82BF7"/>
    <w:rsid w:val="00C926EC"/>
    <w:rsid w:val="00C92EB8"/>
    <w:rsid w:val="00CA0B2A"/>
    <w:rsid w:val="00CA0D6E"/>
    <w:rsid w:val="00CA1BF4"/>
    <w:rsid w:val="00CA430A"/>
    <w:rsid w:val="00CA7949"/>
    <w:rsid w:val="00CD7AB5"/>
    <w:rsid w:val="00CF4B19"/>
    <w:rsid w:val="00CF6DD2"/>
    <w:rsid w:val="00CF7B44"/>
    <w:rsid w:val="00D034CA"/>
    <w:rsid w:val="00D04113"/>
    <w:rsid w:val="00D04A27"/>
    <w:rsid w:val="00D141F9"/>
    <w:rsid w:val="00D15B20"/>
    <w:rsid w:val="00D34C82"/>
    <w:rsid w:val="00D508AD"/>
    <w:rsid w:val="00D52626"/>
    <w:rsid w:val="00D56492"/>
    <w:rsid w:val="00D56C2A"/>
    <w:rsid w:val="00D756D3"/>
    <w:rsid w:val="00D773A3"/>
    <w:rsid w:val="00D80E42"/>
    <w:rsid w:val="00D8273E"/>
    <w:rsid w:val="00D83CDA"/>
    <w:rsid w:val="00D867D6"/>
    <w:rsid w:val="00DA524A"/>
    <w:rsid w:val="00DB35F9"/>
    <w:rsid w:val="00DB682F"/>
    <w:rsid w:val="00DC0EF5"/>
    <w:rsid w:val="00DC170F"/>
    <w:rsid w:val="00DC41D3"/>
    <w:rsid w:val="00DD4CD5"/>
    <w:rsid w:val="00DE471D"/>
    <w:rsid w:val="00DF1A08"/>
    <w:rsid w:val="00E027F1"/>
    <w:rsid w:val="00E154EF"/>
    <w:rsid w:val="00E61AB1"/>
    <w:rsid w:val="00E6472D"/>
    <w:rsid w:val="00E747BD"/>
    <w:rsid w:val="00E8267E"/>
    <w:rsid w:val="00E9273B"/>
    <w:rsid w:val="00E93A01"/>
    <w:rsid w:val="00EA5419"/>
    <w:rsid w:val="00EB2941"/>
    <w:rsid w:val="00EB65AC"/>
    <w:rsid w:val="00EC45F0"/>
    <w:rsid w:val="00ED61A8"/>
    <w:rsid w:val="00EE337F"/>
    <w:rsid w:val="00EE5649"/>
    <w:rsid w:val="00EF12DF"/>
    <w:rsid w:val="00EF3F7E"/>
    <w:rsid w:val="00F00A9E"/>
    <w:rsid w:val="00F01B01"/>
    <w:rsid w:val="00F06C91"/>
    <w:rsid w:val="00F155D1"/>
    <w:rsid w:val="00F1754D"/>
    <w:rsid w:val="00F179F1"/>
    <w:rsid w:val="00F24446"/>
    <w:rsid w:val="00F24A3E"/>
    <w:rsid w:val="00F25968"/>
    <w:rsid w:val="00F43A6A"/>
    <w:rsid w:val="00F46241"/>
    <w:rsid w:val="00F50A5A"/>
    <w:rsid w:val="00F535B2"/>
    <w:rsid w:val="00F54E90"/>
    <w:rsid w:val="00F74016"/>
    <w:rsid w:val="00F770C9"/>
    <w:rsid w:val="00F822B8"/>
    <w:rsid w:val="00F926F0"/>
    <w:rsid w:val="00F92E49"/>
    <w:rsid w:val="00FA5F68"/>
    <w:rsid w:val="00FB4444"/>
    <w:rsid w:val="00FC0646"/>
    <w:rsid w:val="00FC0F66"/>
    <w:rsid w:val="00FC5578"/>
    <w:rsid w:val="00FC5D0A"/>
    <w:rsid w:val="00FD127A"/>
    <w:rsid w:val="00FD4B03"/>
    <w:rsid w:val="00FD51F4"/>
    <w:rsid w:val="00FD71BA"/>
    <w:rsid w:val="00FE1D3E"/>
    <w:rsid w:val="00FE519D"/>
    <w:rsid w:val="00FF51A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89" fillcolor="none [3207]" strokecolor="none [3041]">
      <v:fill color="none [3207]"/>
      <v:stroke color="none [3041]" weight="3pt"/>
      <v:shadow on="t" type="perspective" color="none [1607]" opacity=".5" offset="1pt" offset2="-1pt"/>
      <o:colormenu v:ext="edit" strokecolor="none" shadowcolor="none"/>
    </o:shapedefaults>
    <o:shapelayout v:ext="edit">
      <o:idmap v:ext="edit" data="1"/>
      <o:rules v:ext="edit">
        <o:r id="V:Rule4" type="connector" idref="#AutoShape 26"/>
        <o:r id="V:Rule5" type="connector" idref="#AutoShape 29"/>
        <o:r id="V:Rule6" type="connector" idref="#AutoShape 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2941"/>
  </w:style>
  <w:style w:type="paragraph" w:styleId="Heading1">
    <w:name w:val="heading 1"/>
    <w:next w:val="BodyParagraph"/>
    <w:link w:val="Heading1Char"/>
    <w:uiPriority w:val="9"/>
    <w:qFormat/>
    <w:rsid w:val="00F535B2"/>
    <w:pPr>
      <w:keepNext/>
      <w:numPr>
        <w:numId w:val="3"/>
      </w:numPr>
      <w:spacing w:after="120" w:line="240" w:lineRule="auto"/>
      <w:outlineLvl w:val="0"/>
    </w:pPr>
    <w:rPr>
      <w:rFonts w:ascii="Verdana" w:eastAsia="Times New Roman" w:hAnsi="Verdana" w:cs="Times New Roman"/>
      <w:b/>
      <w:color w:val="403152" w:themeColor="accent4" w:themeShade="80"/>
      <w:sz w:val="28"/>
      <w:szCs w:val="28"/>
    </w:rPr>
  </w:style>
  <w:style w:type="paragraph" w:styleId="Heading2">
    <w:name w:val="heading 2"/>
    <w:basedOn w:val="Heading1"/>
    <w:next w:val="BodyParagraph"/>
    <w:link w:val="Heading2Char"/>
    <w:unhideWhenUsed/>
    <w:qFormat/>
    <w:rsid w:val="00F535B2"/>
    <w:pPr>
      <w:numPr>
        <w:ilvl w:val="1"/>
      </w:numPr>
      <w:ind w:left="720" w:hanging="720"/>
      <w:outlineLvl w:val="1"/>
    </w:pPr>
    <w:rPr>
      <w:rFonts w:eastAsiaTheme="majorEastAsia" w:cstheme="majorBidi"/>
      <w:bCs/>
      <w:sz w:val="26"/>
      <w:szCs w:val="26"/>
    </w:rPr>
  </w:style>
  <w:style w:type="paragraph" w:styleId="Heading3">
    <w:name w:val="heading 3"/>
    <w:basedOn w:val="Heading2"/>
    <w:next w:val="BodyParagraph"/>
    <w:link w:val="Heading3Char"/>
    <w:unhideWhenUsed/>
    <w:qFormat/>
    <w:rsid w:val="00F535B2"/>
    <w:pPr>
      <w:keepLines/>
      <w:numPr>
        <w:ilvl w:val="2"/>
      </w:numPr>
      <w:ind w:left="1350" w:hanging="990"/>
      <w:outlineLvl w:val="2"/>
    </w:pPr>
    <w:rPr>
      <w:bCs w:val="0"/>
    </w:rPr>
  </w:style>
  <w:style w:type="paragraph" w:styleId="Heading4">
    <w:name w:val="heading 4"/>
    <w:basedOn w:val="Normal"/>
    <w:next w:val="BodyParagraph"/>
    <w:link w:val="Heading4Char"/>
    <w:uiPriority w:val="9"/>
    <w:unhideWhenUsed/>
    <w:qFormat/>
    <w:rsid w:val="00F535B2"/>
    <w:pPr>
      <w:keepNext/>
      <w:keepLines/>
      <w:spacing w:before="200" w:after="0"/>
      <w:ind w:left="360"/>
      <w:outlineLvl w:val="3"/>
    </w:pPr>
    <w:rPr>
      <w:rFonts w:ascii="Arial" w:eastAsiaTheme="majorEastAsia" w:hAnsi="Arial" w:cs="Arial"/>
      <w:b/>
      <w:bCs/>
      <w:i/>
      <w:iCs/>
      <w:color w:val="403152" w:themeColor="accent4" w:themeShade="80"/>
      <w:sz w:val="24"/>
    </w:rPr>
  </w:style>
  <w:style w:type="paragraph" w:styleId="Heading5">
    <w:name w:val="heading 5"/>
    <w:basedOn w:val="Normal"/>
    <w:next w:val="Normal"/>
    <w:link w:val="Heading5Char"/>
    <w:uiPriority w:val="9"/>
    <w:unhideWhenUsed/>
    <w:qFormat/>
    <w:rsid w:val="0046277A"/>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6277A"/>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6277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46277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46277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A6B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6B02"/>
    <w:rPr>
      <w:rFonts w:ascii="Tahoma" w:hAnsi="Tahoma" w:cs="Tahoma"/>
      <w:sz w:val="16"/>
      <w:szCs w:val="16"/>
    </w:rPr>
  </w:style>
  <w:style w:type="paragraph" w:customStyle="1" w:styleId="TitleHeader">
    <w:name w:val="Title Header"/>
    <w:qFormat/>
    <w:rsid w:val="002A6B02"/>
    <w:pPr>
      <w:spacing w:after="120" w:line="240" w:lineRule="auto"/>
    </w:pPr>
    <w:rPr>
      <w:rFonts w:ascii="Arial" w:eastAsia="Times New Roman" w:hAnsi="Arial" w:cs="Arial"/>
      <w:b/>
      <w:i/>
      <w:color w:val="FFFFFF"/>
      <w:sz w:val="24"/>
      <w:szCs w:val="24"/>
    </w:rPr>
  </w:style>
  <w:style w:type="paragraph" w:customStyle="1" w:styleId="TitleProposal">
    <w:name w:val="Title Proposal"/>
    <w:qFormat/>
    <w:rsid w:val="00F535B2"/>
    <w:pPr>
      <w:spacing w:after="400" w:line="240" w:lineRule="auto"/>
    </w:pPr>
    <w:rPr>
      <w:rFonts w:ascii="Verdana" w:eastAsia="Times New Roman" w:hAnsi="Verdana" w:cs="Arial"/>
      <w:b/>
      <w:color w:val="FFFFFF"/>
      <w:sz w:val="28"/>
      <w:szCs w:val="28"/>
    </w:rPr>
  </w:style>
  <w:style w:type="paragraph" w:customStyle="1" w:styleId="TitleAddress">
    <w:name w:val="Title Address"/>
    <w:qFormat/>
    <w:rsid w:val="00F535B2"/>
    <w:pPr>
      <w:tabs>
        <w:tab w:val="left" w:pos="3960"/>
      </w:tabs>
      <w:spacing w:after="400" w:line="240" w:lineRule="auto"/>
    </w:pPr>
    <w:rPr>
      <w:rFonts w:ascii="Verdana" w:eastAsia="Times New Roman" w:hAnsi="Verdana" w:cs="Arial"/>
      <w:b/>
      <w:color w:val="FFFFFF"/>
    </w:rPr>
  </w:style>
  <w:style w:type="paragraph" w:styleId="Footer">
    <w:name w:val="footer"/>
    <w:basedOn w:val="Normal"/>
    <w:link w:val="FooterChar"/>
    <w:uiPriority w:val="99"/>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FooterChar">
    <w:name w:val="Footer Char"/>
    <w:basedOn w:val="DefaultParagraphFont"/>
    <w:link w:val="Footer"/>
    <w:uiPriority w:val="99"/>
    <w:rsid w:val="002A6B02"/>
    <w:rPr>
      <w:rFonts w:ascii="Arial" w:eastAsia="Times New Roman" w:hAnsi="Arial" w:cs="Times New Roman"/>
      <w:szCs w:val="24"/>
    </w:rPr>
  </w:style>
  <w:style w:type="character" w:styleId="PageNumber">
    <w:name w:val="page number"/>
    <w:basedOn w:val="DefaultParagraphFont"/>
    <w:uiPriority w:val="99"/>
    <w:rsid w:val="002A6B02"/>
  </w:style>
  <w:style w:type="paragraph" w:styleId="Header">
    <w:name w:val="header"/>
    <w:basedOn w:val="Normal"/>
    <w:link w:val="HeaderChar"/>
    <w:uiPriority w:val="99"/>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HeaderChar">
    <w:name w:val="Header Char"/>
    <w:basedOn w:val="DefaultParagraphFont"/>
    <w:link w:val="Header"/>
    <w:uiPriority w:val="99"/>
    <w:rsid w:val="002A6B02"/>
    <w:rPr>
      <w:rFonts w:ascii="Arial" w:eastAsia="Times New Roman" w:hAnsi="Arial" w:cs="Times New Roman"/>
      <w:szCs w:val="24"/>
    </w:rPr>
  </w:style>
  <w:style w:type="paragraph" w:customStyle="1" w:styleId="PreparedFor">
    <w:name w:val="Prepared For"/>
    <w:rsid w:val="00F535B2"/>
    <w:pPr>
      <w:spacing w:before="400" w:after="120" w:line="240" w:lineRule="auto"/>
      <w:jc w:val="right"/>
    </w:pPr>
    <w:rPr>
      <w:rFonts w:ascii="Verdana" w:eastAsia="Times New Roman" w:hAnsi="Verdana" w:cs="Times New Roman"/>
      <w:i/>
      <w:szCs w:val="20"/>
    </w:rPr>
  </w:style>
  <w:style w:type="paragraph" w:customStyle="1" w:styleId="PreparedForCompany">
    <w:name w:val="Prepared For Company"/>
    <w:basedOn w:val="Normal"/>
    <w:qFormat/>
    <w:rsid w:val="00F535B2"/>
    <w:pPr>
      <w:spacing w:after="0" w:line="240" w:lineRule="auto"/>
      <w:jc w:val="right"/>
    </w:pPr>
    <w:rPr>
      <w:rFonts w:ascii="Verdana" w:eastAsia="Times New Roman" w:hAnsi="Verdana" w:cs="Times New Roman"/>
      <w:szCs w:val="24"/>
    </w:rPr>
  </w:style>
  <w:style w:type="character" w:customStyle="1" w:styleId="Heading1Char">
    <w:name w:val="Heading 1 Char"/>
    <w:basedOn w:val="DefaultParagraphFont"/>
    <w:link w:val="Heading1"/>
    <w:uiPriority w:val="9"/>
    <w:rsid w:val="00F535B2"/>
    <w:rPr>
      <w:rFonts w:ascii="Verdana" w:eastAsia="Times New Roman" w:hAnsi="Verdana" w:cs="Times New Roman"/>
      <w:b/>
      <w:color w:val="403152" w:themeColor="accent4" w:themeShade="80"/>
      <w:sz w:val="28"/>
      <w:szCs w:val="28"/>
    </w:rPr>
  </w:style>
  <w:style w:type="paragraph" w:styleId="TOCHeading">
    <w:name w:val="TOC Heading"/>
    <w:basedOn w:val="Heading1"/>
    <w:next w:val="Normal"/>
    <w:uiPriority w:val="39"/>
    <w:unhideWhenUsed/>
    <w:qFormat/>
    <w:rsid w:val="00F179F1"/>
    <w:pPr>
      <w:spacing w:before="480" w:after="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F535B2"/>
    <w:pPr>
      <w:tabs>
        <w:tab w:val="left" w:pos="270"/>
        <w:tab w:val="left" w:pos="1170"/>
        <w:tab w:val="right" w:leader="dot" w:pos="8460"/>
      </w:tabs>
      <w:spacing w:after="100"/>
    </w:pPr>
    <w:rPr>
      <w:rFonts w:ascii="Verdana" w:hAnsi="Verdana" w:cs="Arial"/>
      <w:noProof/>
      <w:sz w:val="18"/>
      <w:szCs w:val="24"/>
    </w:rPr>
  </w:style>
  <w:style w:type="character" w:styleId="Hyperlink">
    <w:name w:val="Hyperlink"/>
    <w:basedOn w:val="DefaultParagraphFont"/>
    <w:uiPriority w:val="99"/>
    <w:unhideWhenUsed/>
    <w:rsid w:val="00AB380F"/>
    <w:rPr>
      <w:rFonts w:ascii="Verdana" w:hAnsi="Verdana"/>
      <w:color w:val="0000FF" w:themeColor="hyperlink"/>
      <w:sz w:val="18"/>
    </w:rPr>
  </w:style>
  <w:style w:type="paragraph" w:customStyle="1" w:styleId="TableofContents">
    <w:name w:val="Table of Contents"/>
    <w:qFormat/>
    <w:rsid w:val="00F535B2"/>
    <w:pPr>
      <w:ind w:left="720"/>
    </w:pPr>
    <w:rPr>
      <w:rFonts w:ascii="Verdana" w:eastAsia="Times New Roman" w:hAnsi="Verdana" w:cs="Times New Roman"/>
      <w:b/>
      <w:color w:val="403152" w:themeColor="accent4" w:themeShade="80"/>
      <w:sz w:val="28"/>
      <w:szCs w:val="24"/>
    </w:rPr>
  </w:style>
  <w:style w:type="character" w:customStyle="1" w:styleId="Heading2Char">
    <w:name w:val="Heading 2 Char"/>
    <w:basedOn w:val="DefaultParagraphFont"/>
    <w:link w:val="Heading2"/>
    <w:rsid w:val="00F535B2"/>
    <w:rPr>
      <w:rFonts w:ascii="Verdana" w:eastAsiaTheme="majorEastAsia" w:hAnsi="Verdana" w:cstheme="majorBidi"/>
      <w:b/>
      <w:bCs/>
      <w:color w:val="403152" w:themeColor="accent4" w:themeShade="80"/>
      <w:sz w:val="26"/>
      <w:szCs w:val="26"/>
    </w:rPr>
  </w:style>
  <w:style w:type="paragraph" w:styleId="TOC2">
    <w:name w:val="toc 2"/>
    <w:basedOn w:val="Normal"/>
    <w:next w:val="Normal"/>
    <w:autoRedefine/>
    <w:uiPriority w:val="39"/>
    <w:unhideWhenUsed/>
    <w:rsid w:val="00F535B2"/>
    <w:pPr>
      <w:tabs>
        <w:tab w:val="left" w:pos="720"/>
        <w:tab w:val="right" w:leader="dot" w:pos="8460"/>
      </w:tabs>
      <w:spacing w:after="100"/>
      <w:ind w:left="220"/>
    </w:pPr>
    <w:rPr>
      <w:rFonts w:ascii="Verdana" w:hAnsi="Verdana" w:cs="Arial"/>
      <w:noProof/>
      <w:sz w:val="18"/>
      <w:szCs w:val="24"/>
    </w:rPr>
  </w:style>
  <w:style w:type="character" w:customStyle="1" w:styleId="Heading3Char">
    <w:name w:val="Heading 3 Char"/>
    <w:basedOn w:val="DefaultParagraphFont"/>
    <w:link w:val="Heading3"/>
    <w:rsid w:val="00F535B2"/>
    <w:rPr>
      <w:rFonts w:ascii="Verdana" w:eastAsiaTheme="majorEastAsia" w:hAnsi="Verdana" w:cstheme="majorBidi"/>
      <w:b/>
      <w:color w:val="403152" w:themeColor="accent4" w:themeShade="80"/>
      <w:sz w:val="26"/>
      <w:szCs w:val="26"/>
    </w:rPr>
  </w:style>
  <w:style w:type="paragraph" w:styleId="TOC3">
    <w:name w:val="toc 3"/>
    <w:basedOn w:val="Normal"/>
    <w:next w:val="Normal"/>
    <w:autoRedefine/>
    <w:uiPriority w:val="39"/>
    <w:unhideWhenUsed/>
    <w:rsid w:val="00F535B2"/>
    <w:pPr>
      <w:tabs>
        <w:tab w:val="left" w:pos="900"/>
        <w:tab w:val="left" w:pos="1080"/>
        <w:tab w:val="right" w:leader="dot" w:pos="8460"/>
      </w:tabs>
      <w:spacing w:after="100"/>
      <w:ind w:left="440"/>
    </w:pPr>
    <w:rPr>
      <w:rFonts w:ascii="Verdana" w:eastAsiaTheme="minorEastAsia" w:hAnsi="Verdana" w:cs="Arial"/>
      <w:noProof/>
      <w:sz w:val="18"/>
      <w:szCs w:val="24"/>
    </w:rPr>
  </w:style>
  <w:style w:type="paragraph" w:customStyle="1" w:styleId="BodyParagraph">
    <w:name w:val="Body Paragraph"/>
    <w:link w:val="BodyParagraphChar"/>
    <w:qFormat/>
    <w:rsid w:val="00AB380F"/>
    <w:pPr>
      <w:spacing w:after="240" w:line="312" w:lineRule="auto"/>
    </w:pPr>
    <w:rPr>
      <w:rFonts w:ascii="Verdana" w:hAnsi="Verdana"/>
      <w:sz w:val="18"/>
    </w:rPr>
  </w:style>
  <w:style w:type="paragraph" w:customStyle="1" w:styleId="BodyBeforeBullet">
    <w:name w:val="Body Before Bullet"/>
    <w:basedOn w:val="BodyParagraph"/>
    <w:next w:val="Bullets"/>
    <w:qFormat/>
    <w:rsid w:val="00393B5B"/>
    <w:pPr>
      <w:keepNext/>
      <w:spacing w:after="60"/>
    </w:pPr>
  </w:style>
  <w:style w:type="paragraph" w:customStyle="1" w:styleId="Bullets">
    <w:name w:val="Bullets"/>
    <w:basedOn w:val="Normal"/>
    <w:qFormat/>
    <w:rsid w:val="00AB380F"/>
    <w:pPr>
      <w:numPr>
        <w:numId w:val="1"/>
      </w:numPr>
      <w:spacing w:after="120" w:line="240" w:lineRule="auto"/>
    </w:pPr>
    <w:rPr>
      <w:rFonts w:ascii="Verdana" w:eastAsia="Times New Roman" w:hAnsi="Verdana" w:cs="Arial"/>
      <w:sz w:val="18"/>
      <w:szCs w:val="21"/>
    </w:rPr>
  </w:style>
  <w:style w:type="paragraph" w:customStyle="1" w:styleId="BulletLast">
    <w:name w:val="Bullet Last"/>
    <w:basedOn w:val="Bullets"/>
    <w:next w:val="BodyParagraph"/>
    <w:qFormat/>
    <w:rsid w:val="001B352B"/>
    <w:pPr>
      <w:spacing w:after="360"/>
    </w:pPr>
  </w:style>
  <w:style w:type="paragraph" w:styleId="FootnoteText">
    <w:name w:val="footnote text"/>
    <w:aliases w:val="Footnote Text1 Char,Footnote Text Char Ch"/>
    <w:basedOn w:val="Normal"/>
    <w:link w:val="FootnoteTextChar"/>
    <w:uiPriority w:val="99"/>
    <w:unhideWhenUsed/>
    <w:rsid w:val="00F535B2"/>
    <w:pPr>
      <w:spacing w:after="120" w:line="240" w:lineRule="auto"/>
    </w:pPr>
    <w:rPr>
      <w:rFonts w:ascii="Franklin Gothic Book" w:hAnsi="Franklin Gothic Book"/>
      <w:sz w:val="18"/>
      <w:szCs w:val="20"/>
    </w:rPr>
  </w:style>
  <w:style w:type="character" w:customStyle="1" w:styleId="FootnoteTextChar">
    <w:name w:val="Footnote Text Char"/>
    <w:aliases w:val="Footnote Text1 Char Char,Footnote Text Char Ch Char"/>
    <w:basedOn w:val="DefaultParagraphFont"/>
    <w:link w:val="FootnoteText"/>
    <w:uiPriority w:val="99"/>
    <w:rsid w:val="00F535B2"/>
    <w:rPr>
      <w:rFonts w:ascii="Franklin Gothic Book" w:hAnsi="Franklin Gothic Book"/>
      <w:sz w:val="18"/>
      <w:szCs w:val="20"/>
    </w:rPr>
  </w:style>
  <w:style w:type="character" w:styleId="FootnoteReference">
    <w:name w:val="footnote reference"/>
    <w:basedOn w:val="DefaultParagraphFont"/>
    <w:uiPriority w:val="99"/>
    <w:unhideWhenUsed/>
    <w:rsid w:val="001B352B"/>
    <w:rPr>
      <w:vertAlign w:val="superscript"/>
    </w:rPr>
  </w:style>
  <w:style w:type="paragraph" w:customStyle="1" w:styleId="Footnote">
    <w:name w:val="Footnote"/>
    <w:basedOn w:val="FootnoteText"/>
    <w:qFormat/>
    <w:rsid w:val="00F535B2"/>
  </w:style>
  <w:style w:type="paragraph" w:customStyle="1" w:styleId="TableFigureCaption">
    <w:name w:val="Table Figure Caption"/>
    <w:basedOn w:val="Normal"/>
    <w:next w:val="BodyParaAfterTableFigure"/>
    <w:qFormat/>
    <w:rsid w:val="002436C1"/>
    <w:pPr>
      <w:keepNext/>
      <w:spacing w:after="120" w:line="240" w:lineRule="auto"/>
      <w:jc w:val="center"/>
    </w:pPr>
    <w:rPr>
      <w:rFonts w:ascii="Arial" w:hAnsi="Arial"/>
      <w:b/>
      <w:sz w:val="20"/>
    </w:rPr>
  </w:style>
  <w:style w:type="table" w:styleId="TableGrid">
    <w:name w:val="Table Grid"/>
    <w:basedOn w:val="TableNormal"/>
    <w:uiPriority w:val="59"/>
    <w:rsid w:val="001B35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er">
    <w:name w:val="Table Header"/>
    <w:qFormat/>
    <w:rsid w:val="00A53378"/>
    <w:pPr>
      <w:spacing w:before="100" w:after="100" w:line="240" w:lineRule="auto"/>
      <w:jc w:val="center"/>
    </w:pPr>
    <w:rPr>
      <w:rFonts w:ascii="Arial" w:hAnsi="Arial"/>
      <w:b/>
      <w:color w:val="FFFFFF" w:themeColor="background1"/>
      <w:sz w:val="20"/>
    </w:rPr>
  </w:style>
  <w:style w:type="paragraph" w:customStyle="1" w:styleId="TableText">
    <w:name w:val="Table Text"/>
    <w:qFormat/>
    <w:rsid w:val="00C66141"/>
    <w:pPr>
      <w:spacing w:before="60" w:after="60" w:line="240" w:lineRule="auto"/>
      <w:jc w:val="center"/>
    </w:pPr>
    <w:rPr>
      <w:rFonts w:ascii="Arial" w:hAnsi="Arial"/>
      <w:sz w:val="18"/>
    </w:rPr>
  </w:style>
  <w:style w:type="paragraph" w:customStyle="1" w:styleId="BodyParaAfterTableFigure">
    <w:name w:val="Body Para After Table Figure"/>
    <w:basedOn w:val="BodyParagraph"/>
    <w:next w:val="BodyParagraph"/>
    <w:qFormat/>
    <w:rsid w:val="00B50663"/>
    <w:pPr>
      <w:spacing w:before="360"/>
    </w:pPr>
  </w:style>
  <w:style w:type="paragraph" w:customStyle="1" w:styleId="AppendixHeading">
    <w:name w:val="Appendix Heading"/>
    <w:basedOn w:val="Heading1"/>
    <w:next w:val="BodyParagraph"/>
    <w:qFormat/>
    <w:rsid w:val="003D68A0"/>
    <w:pPr>
      <w:numPr>
        <w:numId w:val="2"/>
      </w:numPr>
    </w:pPr>
  </w:style>
  <w:style w:type="character" w:customStyle="1" w:styleId="Heading4Char">
    <w:name w:val="Heading 4 Char"/>
    <w:basedOn w:val="DefaultParagraphFont"/>
    <w:link w:val="Heading4"/>
    <w:uiPriority w:val="9"/>
    <w:rsid w:val="00F535B2"/>
    <w:rPr>
      <w:rFonts w:ascii="Arial" w:eastAsiaTheme="majorEastAsia" w:hAnsi="Arial" w:cs="Arial"/>
      <w:b/>
      <w:bCs/>
      <w:i/>
      <w:iCs/>
      <w:color w:val="403152" w:themeColor="accent4" w:themeShade="80"/>
      <w:sz w:val="24"/>
    </w:rPr>
  </w:style>
  <w:style w:type="character" w:customStyle="1" w:styleId="Heading5Char">
    <w:name w:val="Heading 5 Char"/>
    <w:basedOn w:val="DefaultParagraphFont"/>
    <w:link w:val="Heading5"/>
    <w:uiPriority w:val="9"/>
    <w:rsid w:val="004627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6277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6277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46277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46277A"/>
    <w:rPr>
      <w:rFonts w:asciiTheme="majorHAnsi" w:eastAsiaTheme="majorEastAsia" w:hAnsiTheme="majorHAnsi" w:cstheme="majorBidi"/>
      <w:i/>
      <w:iCs/>
      <w:color w:val="404040" w:themeColor="text1" w:themeTint="BF"/>
      <w:sz w:val="20"/>
      <w:szCs w:val="20"/>
    </w:rPr>
  </w:style>
  <w:style w:type="paragraph" w:customStyle="1" w:styleId="AppendixHeading2">
    <w:name w:val="Appendix Heading 2"/>
    <w:basedOn w:val="Normal"/>
    <w:next w:val="BodyParagraph"/>
    <w:qFormat/>
    <w:rsid w:val="00F535B2"/>
    <w:pPr>
      <w:keepNext/>
      <w:numPr>
        <w:ilvl w:val="1"/>
        <w:numId w:val="2"/>
      </w:numPr>
      <w:spacing w:after="60" w:line="240" w:lineRule="auto"/>
      <w:ind w:left="720" w:hanging="720"/>
    </w:pPr>
    <w:rPr>
      <w:rFonts w:ascii="Verdana" w:hAnsi="Verdana"/>
      <w:b/>
      <w:color w:val="403152" w:themeColor="accent4" w:themeShade="80"/>
      <w:sz w:val="26"/>
    </w:rPr>
  </w:style>
  <w:style w:type="paragraph" w:customStyle="1" w:styleId="AppendixHeading3">
    <w:name w:val="Appendix Heading 3"/>
    <w:basedOn w:val="Normal"/>
    <w:next w:val="BodyParagraph"/>
    <w:qFormat/>
    <w:rsid w:val="00F535B2"/>
    <w:pPr>
      <w:numPr>
        <w:ilvl w:val="2"/>
        <w:numId w:val="2"/>
      </w:numPr>
      <w:spacing w:after="120" w:line="240" w:lineRule="auto"/>
      <w:ind w:left="990" w:hanging="990"/>
    </w:pPr>
    <w:rPr>
      <w:rFonts w:ascii="Verdana" w:hAnsi="Verdana"/>
      <w:b/>
      <w:color w:val="403152" w:themeColor="accent4" w:themeShade="80"/>
      <w:sz w:val="24"/>
    </w:rPr>
  </w:style>
  <w:style w:type="paragraph" w:customStyle="1" w:styleId="AppendixHeading4">
    <w:name w:val="Appendix Heading 4"/>
    <w:basedOn w:val="BodyParagraph"/>
    <w:next w:val="BodyParagraph"/>
    <w:qFormat/>
    <w:rsid w:val="00F535B2"/>
    <w:pPr>
      <w:keepNext/>
      <w:spacing w:after="60" w:line="240" w:lineRule="auto"/>
      <w:ind w:firstLine="360"/>
    </w:pPr>
    <w:rPr>
      <w:b/>
      <w:i/>
      <w:color w:val="403152" w:themeColor="accent4" w:themeShade="80"/>
    </w:rPr>
  </w:style>
  <w:style w:type="paragraph" w:styleId="TOC4">
    <w:name w:val="toc 4"/>
    <w:basedOn w:val="Normal"/>
    <w:next w:val="Normal"/>
    <w:autoRedefine/>
    <w:uiPriority w:val="39"/>
    <w:unhideWhenUsed/>
    <w:rsid w:val="00F535B2"/>
    <w:pPr>
      <w:tabs>
        <w:tab w:val="left" w:pos="1350"/>
        <w:tab w:val="right" w:leader="dot" w:pos="8460"/>
      </w:tabs>
      <w:spacing w:after="100"/>
      <w:ind w:left="660"/>
    </w:pPr>
    <w:rPr>
      <w:rFonts w:ascii="Verdana" w:hAnsi="Verdana" w:cs="Arial"/>
      <w:noProof/>
      <w:sz w:val="18"/>
      <w:szCs w:val="24"/>
    </w:rPr>
  </w:style>
  <w:style w:type="numbering" w:customStyle="1" w:styleId="Numbered">
    <w:name w:val="Numbered"/>
    <w:basedOn w:val="NoList"/>
    <w:rsid w:val="00137F86"/>
    <w:pPr>
      <w:numPr>
        <w:numId w:val="4"/>
      </w:numPr>
    </w:pPr>
  </w:style>
  <w:style w:type="numbering" w:customStyle="1" w:styleId="NumberedSteps">
    <w:name w:val="Numbered Steps"/>
    <w:basedOn w:val="NoList"/>
    <w:rsid w:val="00137F86"/>
    <w:pPr>
      <w:numPr>
        <w:numId w:val="5"/>
      </w:numPr>
    </w:pPr>
  </w:style>
  <w:style w:type="paragraph" w:customStyle="1" w:styleId="Numbers">
    <w:name w:val="Numbers"/>
    <w:qFormat/>
    <w:rsid w:val="003D68A0"/>
    <w:pPr>
      <w:numPr>
        <w:numId w:val="6"/>
      </w:numPr>
      <w:spacing w:after="120" w:line="240" w:lineRule="auto"/>
    </w:pPr>
    <w:rPr>
      <w:rFonts w:ascii="Arial" w:eastAsia="Times New Roman" w:hAnsi="Arial" w:cs="Times New Roman"/>
      <w:sz w:val="20"/>
      <w:szCs w:val="28"/>
    </w:rPr>
  </w:style>
  <w:style w:type="paragraph" w:customStyle="1" w:styleId="NumbersLast">
    <w:name w:val="Numbers Last"/>
    <w:basedOn w:val="Numbers"/>
    <w:next w:val="BodyParagraph"/>
    <w:rsid w:val="007715BA"/>
    <w:pPr>
      <w:numPr>
        <w:numId w:val="7"/>
      </w:numPr>
      <w:spacing w:after="360"/>
    </w:pPr>
  </w:style>
  <w:style w:type="paragraph" w:customStyle="1" w:styleId="LetterDate">
    <w:name w:val="Letter Date"/>
    <w:next w:val="LetterAddressee"/>
    <w:qFormat/>
    <w:rsid w:val="00EB2941"/>
    <w:pPr>
      <w:spacing w:before="2000" w:line="240" w:lineRule="auto"/>
    </w:pPr>
    <w:rPr>
      <w:rFonts w:ascii="Arial" w:hAnsi="Arial"/>
    </w:rPr>
  </w:style>
  <w:style w:type="paragraph" w:customStyle="1" w:styleId="LetterAddressee">
    <w:name w:val="Letter Addressee"/>
    <w:next w:val="LetterSalutation"/>
    <w:qFormat/>
    <w:rsid w:val="00EB2941"/>
    <w:pPr>
      <w:spacing w:after="0" w:line="240" w:lineRule="auto"/>
    </w:pPr>
    <w:rPr>
      <w:rFonts w:ascii="Arial" w:hAnsi="Arial"/>
    </w:rPr>
  </w:style>
  <w:style w:type="paragraph" w:customStyle="1" w:styleId="LetterSalutation">
    <w:name w:val="Letter Salutation"/>
    <w:next w:val="BodyParagraph"/>
    <w:qFormat/>
    <w:rsid w:val="00EB2941"/>
    <w:pPr>
      <w:spacing w:before="400" w:line="240" w:lineRule="auto"/>
    </w:pPr>
    <w:rPr>
      <w:rFonts w:ascii="Arial" w:hAnsi="Arial"/>
    </w:rPr>
  </w:style>
  <w:style w:type="paragraph" w:customStyle="1" w:styleId="LetterClosing">
    <w:name w:val="Letter Closing"/>
    <w:qFormat/>
    <w:rsid w:val="00EB2941"/>
    <w:pPr>
      <w:spacing w:after="1000" w:line="240" w:lineRule="auto"/>
    </w:pPr>
    <w:rPr>
      <w:rFonts w:ascii="Arial" w:hAnsi="Arial"/>
    </w:rPr>
  </w:style>
  <w:style w:type="paragraph" w:styleId="Caption">
    <w:name w:val="caption"/>
    <w:basedOn w:val="TableFigureCaption"/>
    <w:next w:val="Normal"/>
    <w:link w:val="CaptionChar1"/>
    <w:uiPriority w:val="35"/>
    <w:qFormat/>
    <w:rsid w:val="00A53378"/>
    <w:pPr>
      <w:spacing w:after="0"/>
    </w:pPr>
    <w:rPr>
      <w:rFonts w:eastAsia="Times New Roman" w:cs="Times New Roman"/>
      <w:sz w:val="22"/>
    </w:rPr>
  </w:style>
  <w:style w:type="character" w:customStyle="1" w:styleId="CaptionChar1">
    <w:name w:val="Caption Char1"/>
    <w:link w:val="Caption"/>
    <w:uiPriority w:val="35"/>
    <w:locked/>
    <w:rsid w:val="00A53378"/>
    <w:rPr>
      <w:rFonts w:ascii="Arial" w:eastAsia="Times New Roman" w:hAnsi="Arial" w:cs="Times New Roman"/>
      <w:b/>
    </w:rPr>
  </w:style>
  <w:style w:type="character" w:styleId="CommentReference">
    <w:name w:val="annotation reference"/>
    <w:uiPriority w:val="99"/>
    <w:semiHidden/>
    <w:unhideWhenUsed/>
    <w:rsid w:val="00A53378"/>
    <w:rPr>
      <w:rFonts w:cs="Times New Roman"/>
      <w:sz w:val="16"/>
      <w:szCs w:val="16"/>
    </w:rPr>
  </w:style>
  <w:style w:type="paragraph" w:styleId="CommentText">
    <w:name w:val="annotation text"/>
    <w:basedOn w:val="Normal"/>
    <w:link w:val="CommentTextChar"/>
    <w:uiPriority w:val="99"/>
    <w:semiHidden/>
    <w:unhideWhenUsed/>
    <w:rsid w:val="00A53378"/>
    <w:pPr>
      <w:spacing w:line="240" w:lineRule="auto"/>
    </w:pPr>
    <w:rPr>
      <w:rFonts w:ascii="Calibri" w:eastAsia="Times New Roman" w:hAnsi="Calibri" w:cs="Times New Roman"/>
      <w:sz w:val="20"/>
      <w:szCs w:val="20"/>
    </w:rPr>
  </w:style>
  <w:style w:type="character" w:customStyle="1" w:styleId="CommentTextChar">
    <w:name w:val="Comment Text Char"/>
    <w:basedOn w:val="DefaultParagraphFont"/>
    <w:link w:val="CommentText"/>
    <w:uiPriority w:val="99"/>
    <w:semiHidden/>
    <w:rsid w:val="00A53378"/>
    <w:rPr>
      <w:rFonts w:ascii="Calibri" w:eastAsia="Times New Roman" w:hAnsi="Calibri" w:cs="Times New Roman"/>
      <w:sz w:val="20"/>
      <w:szCs w:val="20"/>
    </w:rPr>
  </w:style>
  <w:style w:type="paragraph" w:styleId="ListParagraph">
    <w:name w:val="List Paragraph"/>
    <w:basedOn w:val="Normal"/>
    <w:uiPriority w:val="34"/>
    <w:qFormat/>
    <w:rsid w:val="00A53378"/>
    <w:pPr>
      <w:ind w:left="720"/>
      <w:contextualSpacing/>
    </w:pPr>
    <w:rPr>
      <w:rFonts w:ascii="Calibri" w:eastAsia="Times New Roman" w:hAnsi="Calibri" w:cs="Times New Roman"/>
    </w:rPr>
  </w:style>
  <w:style w:type="paragraph" w:styleId="CommentSubject">
    <w:name w:val="annotation subject"/>
    <w:basedOn w:val="CommentText"/>
    <w:next w:val="CommentText"/>
    <w:link w:val="CommentSubjectChar"/>
    <w:uiPriority w:val="99"/>
    <w:semiHidden/>
    <w:unhideWhenUsed/>
    <w:rsid w:val="00A53378"/>
    <w:pPr>
      <w:spacing w:line="276" w:lineRule="auto"/>
    </w:pPr>
    <w:rPr>
      <w:b/>
      <w:bCs/>
    </w:rPr>
  </w:style>
  <w:style w:type="character" w:customStyle="1" w:styleId="CommentSubjectChar">
    <w:name w:val="Comment Subject Char"/>
    <w:basedOn w:val="CommentTextChar"/>
    <w:link w:val="CommentSubject"/>
    <w:uiPriority w:val="99"/>
    <w:semiHidden/>
    <w:rsid w:val="00A53378"/>
    <w:rPr>
      <w:rFonts w:ascii="Calibri" w:eastAsia="Times New Roman" w:hAnsi="Calibri" w:cs="Times New Roman"/>
      <w:b/>
      <w:bCs/>
      <w:sz w:val="20"/>
      <w:szCs w:val="20"/>
    </w:rPr>
  </w:style>
  <w:style w:type="paragraph" w:styleId="Revision">
    <w:name w:val="Revision"/>
    <w:hidden/>
    <w:uiPriority w:val="99"/>
    <w:semiHidden/>
    <w:rsid w:val="00A53378"/>
    <w:pPr>
      <w:spacing w:after="0" w:line="240" w:lineRule="auto"/>
    </w:pPr>
    <w:rPr>
      <w:rFonts w:ascii="Calibri" w:eastAsia="Times New Roman" w:hAnsi="Calibri" w:cs="Times New Roman"/>
    </w:rPr>
  </w:style>
  <w:style w:type="character" w:customStyle="1" w:styleId="CaptionChar">
    <w:name w:val="Caption Char"/>
    <w:locked/>
    <w:rsid w:val="00A53378"/>
    <w:rPr>
      <w:rFonts w:ascii="Arial" w:hAnsi="Arial" w:cs="Times New Roman"/>
      <w:b/>
      <w:bCs/>
      <w:lang w:bidi="ar-SA"/>
    </w:rPr>
  </w:style>
  <w:style w:type="character" w:customStyle="1" w:styleId="BodyParagraphChar">
    <w:name w:val="Body Paragraph Char"/>
    <w:link w:val="BodyParagraph"/>
    <w:locked/>
    <w:rsid w:val="00A53378"/>
    <w:rPr>
      <w:rFonts w:ascii="Verdana" w:hAnsi="Verdana"/>
      <w:sz w:val="18"/>
    </w:rPr>
  </w:style>
  <w:style w:type="character" w:styleId="PlaceholderText">
    <w:name w:val="Placeholder Text"/>
    <w:uiPriority w:val="99"/>
    <w:semiHidden/>
    <w:rsid w:val="00A53378"/>
    <w:rPr>
      <w:color w:val="808080"/>
    </w:rPr>
  </w:style>
  <w:style w:type="paragraph" w:styleId="EndnoteText">
    <w:name w:val="endnote text"/>
    <w:basedOn w:val="Normal"/>
    <w:link w:val="EndnoteTextChar"/>
    <w:uiPriority w:val="99"/>
    <w:semiHidden/>
    <w:unhideWhenUsed/>
    <w:rsid w:val="00A53378"/>
    <w:rPr>
      <w:rFonts w:ascii="Calibri" w:eastAsia="Times New Roman" w:hAnsi="Calibri" w:cs="Times New Roman"/>
      <w:sz w:val="20"/>
      <w:szCs w:val="20"/>
    </w:rPr>
  </w:style>
  <w:style w:type="character" w:customStyle="1" w:styleId="EndnoteTextChar">
    <w:name w:val="Endnote Text Char"/>
    <w:basedOn w:val="DefaultParagraphFont"/>
    <w:link w:val="EndnoteText"/>
    <w:uiPriority w:val="99"/>
    <w:semiHidden/>
    <w:rsid w:val="00A53378"/>
    <w:rPr>
      <w:rFonts w:ascii="Calibri" w:eastAsia="Times New Roman" w:hAnsi="Calibri" w:cs="Times New Roman"/>
      <w:sz w:val="20"/>
      <w:szCs w:val="20"/>
    </w:rPr>
  </w:style>
  <w:style w:type="character" w:styleId="EndnoteReference">
    <w:name w:val="endnote reference"/>
    <w:basedOn w:val="DefaultParagraphFont"/>
    <w:uiPriority w:val="99"/>
    <w:semiHidden/>
    <w:unhideWhenUsed/>
    <w:rsid w:val="00A53378"/>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2941"/>
  </w:style>
  <w:style w:type="paragraph" w:styleId="Heading1">
    <w:name w:val="heading 1"/>
    <w:next w:val="BodyParagraph"/>
    <w:link w:val="Heading1Char"/>
    <w:uiPriority w:val="9"/>
    <w:qFormat/>
    <w:rsid w:val="00F535B2"/>
    <w:pPr>
      <w:keepNext/>
      <w:numPr>
        <w:numId w:val="3"/>
      </w:numPr>
      <w:spacing w:after="120" w:line="240" w:lineRule="auto"/>
      <w:outlineLvl w:val="0"/>
    </w:pPr>
    <w:rPr>
      <w:rFonts w:ascii="Verdana" w:eastAsia="Times New Roman" w:hAnsi="Verdana" w:cs="Times New Roman"/>
      <w:b/>
      <w:color w:val="403152" w:themeColor="accent4" w:themeShade="80"/>
      <w:sz w:val="28"/>
      <w:szCs w:val="28"/>
    </w:rPr>
  </w:style>
  <w:style w:type="paragraph" w:styleId="Heading2">
    <w:name w:val="heading 2"/>
    <w:basedOn w:val="Heading1"/>
    <w:next w:val="BodyParagraph"/>
    <w:link w:val="Heading2Char"/>
    <w:unhideWhenUsed/>
    <w:qFormat/>
    <w:rsid w:val="00F535B2"/>
    <w:pPr>
      <w:numPr>
        <w:ilvl w:val="1"/>
      </w:numPr>
      <w:ind w:left="720" w:hanging="720"/>
      <w:outlineLvl w:val="1"/>
    </w:pPr>
    <w:rPr>
      <w:rFonts w:eastAsiaTheme="majorEastAsia" w:cstheme="majorBidi"/>
      <w:bCs/>
      <w:sz w:val="26"/>
      <w:szCs w:val="26"/>
    </w:rPr>
  </w:style>
  <w:style w:type="paragraph" w:styleId="Heading3">
    <w:name w:val="heading 3"/>
    <w:basedOn w:val="Heading2"/>
    <w:next w:val="BodyParagraph"/>
    <w:link w:val="Heading3Char"/>
    <w:unhideWhenUsed/>
    <w:qFormat/>
    <w:rsid w:val="00F535B2"/>
    <w:pPr>
      <w:keepLines/>
      <w:numPr>
        <w:ilvl w:val="2"/>
      </w:numPr>
      <w:ind w:left="1350" w:hanging="990"/>
      <w:outlineLvl w:val="2"/>
    </w:pPr>
    <w:rPr>
      <w:bCs w:val="0"/>
    </w:rPr>
  </w:style>
  <w:style w:type="paragraph" w:styleId="Heading4">
    <w:name w:val="heading 4"/>
    <w:basedOn w:val="Normal"/>
    <w:next w:val="BodyParagraph"/>
    <w:link w:val="Heading4Char"/>
    <w:uiPriority w:val="9"/>
    <w:unhideWhenUsed/>
    <w:qFormat/>
    <w:rsid w:val="00F535B2"/>
    <w:pPr>
      <w:keepNext/>
      <w:keepLines/>
      <w:spacing w:before="200" w:after="0"/>
      <w:ind w:left="360"/>
      <w:outlineLvl w:val="3"/>
    </w:pPr>
    <w:rPr>
      <w:rFonts w:ascii="Arial" w:eastAsiaTheme="majorEastAsia" w:hAnsi="Arial" w:cs="Arial"/>
      <w:b/>
      <w:bCs/>
      <w:i/>
      <w:iCs/>
      <w:color w:val="403152" w:themeColor="accent4" w:themeShade="80"/>
      <w:sz w:val="24"/>
    </w:rPr>
  </w:style>
  <w:style w:type="paragraph" w:styleId="Heading5">
    <w:name w:val="heading 5"/>
    <w:basedOn w:val="Normal"/>
    <w:next w:val="Normal"/>
    <w:link w:val="Heading5Char"/>
    <w:uiPriority w:val="9"/>
    <w:unhideWhenUsed/>
    <w:qFormat/>
    <w:rsid w:val="0046277A"/>
    <w:pPr>
      <w:keepNext/>
      <w:keepLines/>
      <w:numPr>
        <w:ilvl w:val="4"/>
        <w:numId w:val="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6277A"/>
    <w:pPr>
      <w:keepNext/>
      <w:keepLines/>
      <w:numPr>
        <w:ilvl w:val="5"/>
        <w:numId w:val="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6277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46277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46277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A6B0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6B02"/>
    <w:rPr>
      <w:rFonts w:ascii="Tahoma" w:hAnsi="Tahoma" w:cs="Tahoma"/>
      <w:sz w:val="16"/>
      <w:szCs w:val="16"/>
    </w:rPr>
  </w:style>
  <w:style w:type="paragraph" w:customStyle="1" w:styleId="TitleHeader">
    <w:name w:val="Title Header"/>
    <w:qFormat/>
    <w:rsid w:val="002A6B02"/>
    <w:pPr>
      <w:spacing w:after="120" w:line="240" w:lineRule="auto"/>
    </w:pPr>
    <w:rPr>
      <w:rFonts w:ascii="Arial" w:eastAsia="Times New Roman" w:hAnsi="Arial" w:cs="Arial"/>
      <w:b/>
      <w:i/>
      <w:color w:val="FFFFFF"/>
      <w:sz w:val="24"/>
      <w:szCs w:val="24"/>
    </w:rPr>
  </w:style>
  <w:style w:type="paragraph" w:customStyle="1" w:styleId="TitleProposal">
    <w:name w:val="Title Proposal"/>
    <w:qFormat/>
    <w:rsid w:val="00F535B2"/>
    <w:pPr>
      <w:spacing w:after="400" w:line="240" w:lineRule="auto"/>
    </w:pPr>
    <w:rPr>
      <w:rFonts w:ascii="Verdana" w:eastAsia="Times New Roman" w:hAnsi="Verdana" w:cs="Arial"/>
      <w:b/>
      <w:color w:val="FFFFFF"/>
      <w:sz w:val="28"/>
      <w:szCs w:val="28"/>
    </w:rPr>
  </w:style>
  <w:style w:type="paragraph" w:customStyle="1" w:styleId="TitleAddress">
    <w:name w:val="Title Address"/>
    <w:qFormat/>
    <w:rsid w:val="00F535B2"/>
    <w:pPr>
      <w:tabs>
        <w:tab w:val="left" w:pos="3960"/>
      </w:tabs>
      <w:spacing w:after="400" w:line="240" w:lineRule="auto"/>
    </w:pPr>
    <w:rPr>
      <w:rFonts w:ascii="Verdana" w:eastAsia="Times New Roman" w:hAnsi="Verdana" w:cs="Arial"/>
      <w:b/>
      <w:color w:val="FFFFFF"/>
    </w:rPr>
  </w:style>
  <w:style w:type="paragraph" w:styleId="Footer">
    <w:name w:val="footer"/>
    <w:basedOn w:val="Normal"/>
    <w:link w:val="FooterChar"/>
    <w:uiPriority w:val="99"/>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FooterChar">
    <w:name w:val="Footer Char"/>
    <w:basedOn w:val="DefaultParagraphFont"/>
    <w:link w:val="Footer"/>
    <w:uiPriority w:val="99"/>
    <w:rsid w:val="002A6B02"/>
    <w:rPr>
      <w:rFonts w:ascii="Arial" w:eastAsia="Times New Roman" w:hAnsi="Arial" w:cs="Times New Roman"/>
      <w:szCs w:val="24"/>
    </w:rPr>
  </w:style>
  <w:style w:type="character" w:styleId="PageNumber">
    <w:name w:val="page number"/>
    <w:basedOn w:val="DefaultParagraphFont"/>
    <w:uiPriority w:val="99"/>
    <w:rsid w:val="002A6B02"/>
  </w:style>
  <w:style w:type="paragraph" w:styleId="Header">
    <w:name w:val="header"/>
    <w:basedOn w:val="Normal"/>
    <w:link w:val="HeaderChar"/>
    <w:uiPriority w:val="99"/>
    <w:rsid w:val="002A6B02"/>
    <w:pPr>
      <w:tabs>
        <w:tab w:val="center" w:pos="4320"/>
        <w:tab w:val="right" w:pos="8640"/>
      </w:tabs>
      <w:spacing w:after="0" w:line="240" w:lineRule="auto"/>
    </w:pPr>
    <w:rPr>
      <w:rFonts w:ascii="Arial" w:eastAsia="Times New Roman" w:hAnsi="Arial" w:cs="Times New Roman"/>
      <w:szCs w:val="24"/>
    </w:rPr>
  </w:style>
  <w:style w:type="character" w:customStyle="1" w:styleId="HeaderChar">
    <w:name w:val="Header Char"/>
    <w:basedOn w:val="DefaultParagraphFont"/>
    <w:link w:val="Header"/>
    <w:uiPriority w:val="99"/>
    <w:rsid w:val="002A6B02"/>
    <w:rPr>
      <w:rFonts w:ascii="Arial" w:eastAsia="Times New Roman" w:hAnsi="Arial" w:cs="Times New Roman"/>
      <w:szCs w:val="24"/>
    </w:rPr>
  </w:style>
  <w:style w:type="paragraph" w:customStyle="1" w:styleId="PreparedFor">
    <w:name w:val="Prepared For"/>
    <w:rsid w:val="00F535B2"/>
    <w:pPr>
      <w:spacing w:before="400" w:after="120" w:line="240" w:lineRule="auto"/>
      <w:jc w:val="right"/>
    </w:pPr>
    <w:rPr>
      <w:rFonts w:ascii="Verdana" w:eastAsia="Times New Roman" w:hAnsi="Verdana" w:cs="Times New Roman"/>
      <w:i/>
      <w:szCs w:val="20"/>
    </w:rPr>
  </w:style>
  <w:style w:type="paragraph" w:customStyle="1" w:styleId="PreparedForCompany">
    <w:name w:val="Prepared For Company"/>
    <w:basedOn w:val="Normal"/>
    <w:qFormat/>
    <w:rsid w:val="00F535B2"/>
    <w:pPr>
      <w:spacing w:after="0" w:line="240" w:lineRule="auto"/>
      <w:jc w:val="right"/>
    </w:pPr>
    <w:rPr>
      <w:rFonts w:ascii="Verdana" w:eastAsia="Times New Roman" w:hAnsi="Verdana" w:cs="Times New Roman"/>
      <w:szCs w:val="24"/>
    </w:rPr>
  </w:style>
  <w:style w:type="character" w:customStyle="1" w:styleId="Heading1Char">
    <w:name w:val="Heading 1 Char"/>
    <w:basedOn w:val="DefaultParagraphFont"/>
    <w:link w:val="Heading1"/>
    <w:uiPriority w:val="9"/>
    <w:rsid w:val="00F535B2"/>
    <w:rPr>
      <w:rFonts w:ascii="Verdana" w:eastAsia="Times New Roman" w:hAnsi="Verdana" w:cs="Times New Roman"/>
      <w:b/>
      <w:color w:val="403152" w:themeColor="accent4" w:themeShade="80"/>
      <w:sz w:val="28"/>
      <w:szCs w:val="28"/>
    </w:rPr>
  </w:style>
  <w:style w:type="paragraph" w:styleId="TOCHeading">
    <w:name w:val="TOC Heading"/>
    <w:basedOn w:val="Heading1"/>
    <w:next w:val="Normal"/>
    <w:uiPriority w:val="39"/>
    <w:unhideWhenUsed/>
    <w:qFormat/>
    <w:rsid w:val="00F179F1"/>
    <w:pPr>
      <w:spacing w:before="480" w:after="0" w:line="276" w:lineRule="auto"/>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rsid w:val="00F535B2"/>
    <w:pPr>
      <w:tabs>
        <w:tab w:val="left" w:pos="270"/>
        <w:tab w:val="left" w:pos="1170"/>
        <w:tab w:val="right" w:leader="dot" w:pos="8460"/>
      </w:tabs>
      <w:spacing w:after="100"/>
    </w:pPr>
    <w:rPr>
      <w:rFonts w:ascii="Verdana" w:hAnsi="Verdana" w:cs="Arial"/>
      <w:noProof/>
      <w:sz w:val="18"/>
      <w:szCs w:val="24"/>
    </w:rPr>
  </w:style>
  <w:style w:type="character" w:styleId="Hyperlink">
    <w:name w:val="Hyperlink"/>
    <w:basedOn w:val="DefaultParagraphFont"/>
    <w:uiPriority w:val="99"/>
    <w:unhideWhenUsed/>
    <w:rsid w:val="00AB380F"/>
    <w:rPr>
      <w:rFonts w:ascii="Verdana" w:hAnsi="Verdana"/>
      <w:color w:val="0000FF" w:themeColor="hyperlink"/>
      <w:sz w:val="18"/>
    </w:rPr>
  </w:style>
  <w:style w:type="paragraph" w:customStyle="1" w:styleId="TableofContents">
    <w:name w:val="Table of Contents"/>
    <w:qFormat/>
    <w:rsid w:val="00F535B2"/>
    <w:pPr>
      <w:ind w:left="720"/>
    </w:pPr>
    <w:rPr>
      <w:rFonts w:ascii="Verdana" w:eastAsia="Times New Roman" w:hAnsi="Verdana" w:cs="Times New Roman"/>
      <w:b/>
      <w:color w:val="403152" w:themeColor="accent4" w:themeShade="80"/>
      <w:sz w:val="28"/>
      <w:szCs w:val="24"/>
    </w:rPr>
  </w:style>
  <w:style w:type="character" w:customStyle="1" w:styleId="Heading2Char">
    <w:name w:val="Heading 2 Char"/>
    <w:basedOn w:val="DefaultParagraphFont"/>
    <w:link w:val="Heading2"/>
    <w:rsid w:val="00F535B2"/>
    <w:rPr>
      <w:rFonts w:ascii="Verdana" w:eastAsiaTheme="majorEastAsia" w:hAnsi="Verdana" w:cstheme="majorBidi"/>
      <w:b/>
      <w:bCs/>
      <w:color w:val="403152" w:themeColor="accent4" w:themeShade="80"/>
      <w:sz w:val="26"/>
      <w:szCs w:val="26"/>
    </w:rPr>
  </w:style>
  <w:style w:type="paragraph" w:styleId="TOC2">
    <w:name w:val="toc 2"/>
    <w:basedOn w:val="Normal"/>
    <w:next w:val="Normal"/>
    <w:autoRedefine/>
    <w:uiPriority w:val="39"/>
    <w:unhideWhenUsed/>
    <w:rsid w:val="00F535B2"/>
    <w:pPr>
      <w:tabs>
        <w:tab w:val="left" w:pos="720"/>
        <w:tab w:val="right" w:leader="dot" w:pos="8460"/>
      </w:tabs>
      <w:spacing w:after="100"/>
      <w:ind w:left="220"/>
    </w:pPr>
    <w:rPr>
      <w:rFonts w:ascii="Verdana" w:hAnsi="Verdana" w:cs="Arial"/>
      <w:noProof/>
      <w:sz w:val="18"/>
      <w:szCs w:val="24"/>
    </w:rPr>
  </w:style>
  <w:style w:type="character" w:customStyle="1" w:styleId="Heading3Char">
    <w:name w:val="Heading 3 Char"/>
    <w:basedOn w:val="DefaultParagraphFont"/>
    <w:link w:val="Heading3"/>
    <w:rsid w:val="00F535B2"/>
    <w:rPr>
      <w:rFonts w:ascii="Verdana" w:eastAsiaTheme="majorEastAsia" w:hAnsi="Verdana" w:cstheme="majorBidi"/>
      <w:b/>
      <w:color w:val="403152" w:themeColor="accent4" w:themeShade="80"/>
      <w:sz w:val="26"/>
      <w:szCs w:val="26"/>
    </w:rPr>
  </w:style>
  <w:style w:type="paragraph" w:styleId="TOC3">
    <w:name w:val="toc 3"/>
    <w:basedOn w:val="Normal"/>
    <w:next w:val="Normal"/>
    <w:autoRedefine/>
    <w:uiPriority w:val="39"/>
    <w:unhideWhenUsed/>
    <w:rsid w:val="00F535B2"/>
    <w:pPr>
      <w:tabs>
        <w:tab w:val="left" w:pos="900"/>
        <w:tab w:val="left" w:pos="1080"/>
        <w:tab w:val="right" w:leader="dot" w:pos="8460"/>
      </w:tabs>
      <w:spacing w:after="100"/>
      <w:ind w:left="440"/>
    </w:pPr>
    <w:rPr>
      <w:rFonts w:ascii="Verdana" w:eastAsiaTheme="minorEastAsia" w:hAnsi="Verdana" w:cs="Arial"/>
      <w:noProof/>
      <w:sz w:val="18"/>
      <w:szCs w:val="24"/>
    </w:rPr>
  </w:style>
  <w:style w:type="paragraph" w:customStyle="1" w:styleId="BodyParagraph">
    <w:name w:val="Body Paragraph"/>
    <w:link w:val="BodyParagraphChar"/>
    <w:qFormat/>
    <w:rsid w:val="00AB380F"/>
    <w:pPr>
      <w:spacing w:after="240" w:line="312" w:lineRule="auto"/>
    </w:pPr>
    <w:rPr>
      <w:rFonts w:ascii="Verdana" w:hAnsi="Verdana"/>
      <w:sz w:val="18"/>
    </w:rPr>
  </w:style>
  <w:style w:type="paragraph" w:customStyle="1" w:styleId="BodyBeforeBullet">
    <w:name w:val="Body Before Bullet"/>
    <w:basedOn w:val="BodyParagraph"/>
    <w:next w:val="Bullets"/>
    <w:qFormat/>
    <w:rsid w:val="00393B5B"/>
    <w:pPr>
      <w:keepNext/>
      <w:spacing w:after="60"/>
    </w:pPr>
  </w:style>
  <w:style w:type="paragraph" w:customStyle="1" w:styleId="Bullets">
    <w:name w:val="Bullets"/>
    <w:basedOn w:val="Normal"/>
    <w:qFormat/>
    <w:rsid w:val="00AB380F"/>
    <w:pPr>
      <w:numPr>
        <w:numId w:val="1"/>
      </w:numPr>
      <w:spacing w:after="120" w:line="240" w:lineRule="auto"/>
    </w:pPr>
    <w:rPr>
      <w:rFonts w:ascii="Verdana" w:eastAsia="Times New Roman" w:hAnsi="Verdana" w:cs="Arial"/>
      <w:sz w:val="18"/>
      <w:szCs w:val="21"/>
    </w:rPr>
  </w:style>
  <w:style w:type="paragraph" w:customStyle="1" w:styleId="BulletLast">
    <w:name w:val="Bullet Last"/>
    <w:basedOn w:val="Bullets"/>
    <w:next w:val="BodyParagraph"/>
    <w:qFormat/>
    <w:rsid w:val="001B352B"/>
    <w:pPr>
      <w:spacing w:after="360"/>
    </w:pPr>
  </w:style>
  <w:style w:type="paragraph" w:styleId="FootnoteText">
    <w:name w:val="footnote text"/>
    <w:aliases w:val="Footnote Text1 Char,Footnote Text Char Ch"/>
    <w:basedOn w:val="Normal"/>
    <w:link w:val="FootnoteTextChar"/>
    <w:uiPriority w:val="99"/>
    <w:unhideWhenUsed/>
    <w:rsid w:val="00F535B2"/>
    <w:pPr>
      <w:spacing w:after="120" w:line="240" w:lineRule="auto"/>
    </w:pPr>
    <w:rPr>
      <w:rFonts w:ascii="Franklin Gothic Book" w:hAnsi="Franklin Gothic Book"/>
      <w:sz w:val="18"/>
      <w:szCs w:val="20"/>
    </w:rPr>
  </w:style>
  <w:style w:type="character" w:customStyle="1" w:styleId="FootnoteTextChar">
    <w:name w:val="Footnote Text Char"/>
    <w:aliases w:val="Footnote Text1 Char Char,Footnote Text Char Ch Char"/>
    <w:basedOn w:val="DefaultParagraphFont"/>
    <w:link w:val="FootnoteText"/>
    <w:uiPriority w:val="99"/>
    <w:rsid w:val="00F535B2"/>
    <w:rPr>
      <w:rFonts w:ascii="Franklin Gothic Book" w:hAnsi="Franklin Gothic Book"/>
      <w:sz w:val="18"/>
      <w:szCs w:val="20"/>
    </w:rPr>
  </w:style>
  <w:style w:type="character" w:styleId="FootnoteReference">
    <w:name w:val="footnote reference"/>
    <w:basedOn w:val="DefaultParagraphFont"/>
    <w:uiPriority w:val="99"/>
    <w:unhideWhenUsed/>
    <w:rsid w:val="001B352B"/>
    <w:rPr>
      <w:vertAlign w:val="superscript"/>
    </w:rPr>
  </w:style>
  <w:style w:type="paragraph" w:customStyle="1" w:styleId="Footnote">
    <w:name w:val="Footnote"/>
    <w:basedOn w:val="FootnoteText"/>
    <w:qFormat/>
    <w:rsid w:val="00F535B2"/>
  </w:style>
  <w:style w:type="paragraph" w:customStyle="1" w:styleId="TableFigureCaption">
    <w:name w:val="Table Figure Caption"/>
    <w:basedOn w:val="Normal"/>
    <w:next w:val="BodyParaAfterTableFigure"/>
    <w:qFormat/>
    <w:rsid w:val="002436C1"/>
    <w:pPr>
      <w:keepNext/>
      <w:spacing w:after="120" w:line="240" w:lineRule="auto"/>
      <w:jc w:val="center"/>
    </w:pPr>
    <w:rPr>
      <w:rFonts w:ascii="Arial" w:hAnsi="Arial"/>
      <w:b/>
      <w:sz w:val="20"/>
    </w:rPr>
  </w:style>
  <w:style w:type="table" w:styleId="TableGrid">
    <w:name w:val="Table Grid"/>
    <w:basedOn w:val="TableNormal"/>
    <w:uiPriority w:val="59"/>
    <w:rsid w:val="001B35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Header">
    <w:name w:val="Table Header"/>
    <w:qFormat/>
    <w:rsid w:val="00A53378"/>
    <w:pPr>
      <w:spacing w:before="100" w:after="100" w:line="240" w:lineRule="auto"/>
      <w:jc w:val="center"/>
    </w:pPr>
    <w:rPr>
      <w:rFonts w:ascii="Arial" w:hAnsi="Arial"/>
      <w:b/>
      <w:color w:val="FFFFFF" w:themeColor="background1"/>
      <w:sz w:val="20"/>
    </w:rPr>
  </w:style>
  <w:style w:type="paragraph" w:customStyle="1" w:styleId="TableText">
    <w:name w:val="Table Text"/>
    <w:qFormat/>
    <w:rsid w:val="00C66141"/>
    <w:pPr>
      <w:spacing w:before="60" w:after="60" w:line="240" w:lineRule="auto"/>
      <w:jc w:val="center"/>
    </w:pPr>
    <w:rPr>
      <w:rFonts w:ascii="Arial" w:hAnsi="Arial"/>
      <w:sz w:val="18"/>
    </w:rPr>
  </w:style>
  <w:style w:type="paragraph" w:customStyle="1" w:styleId="BodyParaAfterTableFigure">
    <w:name w:val="Body Para After Table Figure"/>
    <w:basedOn w:val="BodyParagraph"/>
    <w:next w:val="BodyParagraph"/>
    <w:qFormat/>
    <w:rsid w:val="00B50663"/>
    <w:pPr>
      <w:spacing w:before="360"/>
    </w:pPr>
  </w:style>
  <w:style w:type="paragraph" w:customStyle="1" w:styleId="AppendixHeading">
    <w:name w:val="Appendix Heading"/>
    <w:basedOn w:val="Heading1"/>
    <w:next w:val="BodyParagraph"/>
    <w:qFormat/>
    <w:rsid w:val="003D68A0"/>
    <w:pPr>
      <w:numPr>
        <w:numId w:val="2"/>
      </w:numPr>
    </w:pPr>
  </w:style>
  <w:style w:type="character" w:customStyle="1" w:styleId="Heading4Char">
    <w:name w:val="Heading 4 Char"/>
    <w:basedOn w:val="DefaultParagraphFont"/>
    <w:link w:val="Heading4"/>
    <w:uiPriority w:val="9"/>
    <w:rsid w:val="00F535B2"/>
    <w:rPr>
      <w:rFonts w:ascii="Arial" w:eastAsiaTheme="majorEastAsia" w:hAnsi="Arial" w:cs="Arial"/>
      <w:b/>
      <w:bCs/>
      <w:i/>
      <w:iCs/>
      <w:color w:val="403152" w:themeColor="accent4" w:themeShade="80"/>
      <w:sz w:val="24"/>
    </w:rPr>
  </w:style>
  <w:style w:type="character" w:customStyle="1" w:styleId="Heading5Char">
    <w:name w:val="Heading 5 Char"/>
    <w:basedOn w:val="DefaultParagraphFont"/>
    <w:link w:val="Heading5"/>
    <w:uiPriority w:val="9"/>
    <w:rsid w:val="004627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6277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6277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46277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46277A"/>
    <w:rPr>
      <w:rFonts w:asciiTheme="majorHAnsi" w:eastAsiaTheme="majorEastAsia" w:hAnsiTheme="majorHAnsi" w:cstheme="majorBidi"/>
      <w:i/>
      <w:iCs/>
      <w:color w:val="404040" w:themeColor="text1" w:themeTint="BF"/>
      <w:sz w:val="20"/>
      <w:szCs w:val="20"/>
    </w:rPr>
  </w:style>
  <w:style w:type="paragraph" w:customStyle="1" w:styleId="AppendixHeading2">
    <w:name w:val="Appendix Heading 2"/>
    <w:basedOn w:val="Normal"/>
    <w:next w:val="BodyParagraph"/>
    <w:qFormat/>
    <w:rsid w:val="00F535B2"/>
    <w:pPr>
      <w:keepNext/>
      <w:numPr>
        <w:ilvl w:val="1"/>
        <w:numId w:val="2"/>
      </w:numPr>
      <w:spacing w:after="60" w:line="240" w:lineRule="auto"/>
      <w:ind w:left="720" w:hanging="720"/>
    </w:pPr>
    <w:rPr>
      <w:rFonts w:ascii="Verdana" w:hAnsi="Verdana"/>
      <w:b/>
      <w:color w:val="403152" w:themeColor="accent4" w:themeShade="80"/>
      <w:sz w:val="26"/>
    </w:rPr>
  </w:style>
  <w:style w:type="paragraph" w:customStyle="1" w:styleId="AppendixHeading3">
    <w:name w:val="Appendix Heading 3"/>
    <w:basedOn w:val="Normal"/>
    <w:next w:val="BodyParagraph"/>
    <w:qFormat/>
    <w:rsid w:val="00F535B2"/>
    <w:pPr>
      <w:numPr>
        <w:ilvl w:val="2"/>
        <w:numId w:val="2"/>
      </w:numPr>
      <w:spacing w:after="120" w:line="240" w:lineRule="auto"/>
      <w:ind w:left="990" w:hanging="990"/>
    </w:pPr>
    <w:rPr>
      <w:rFonts w:ascii="Verdana" w:hAnsi="Verdana"/>
      <w:b/>
      <w:color w:val="403152" w:themeColor="accent4" w:themeShade="80"/>
      <w:sz w:val="24"/>
    </w:rPr>
  </w:style>
  <w:style w:type="paragraph" w:customStyle="1" w:styleId="AppendixHeading4">
    <w:name w:val="Appendix Heading 4"/>
    <w:basedOn w:val="BodyParagraph"/>
    <w:next w:val="BodyParagraph"/>
    <w:qFormat/>
    <w:rsid w:val="00F535B2"/>
    <w:pPr>
      <w:keepNext/>
      <w:spacing w:after="60" w:line="240" w:lineRule="auto"/>
      <w:ind w:firstLine="360"/>
    </w:pPr>
    <w:rPr>
      <w:b/>
      <w:i/>
      <w:color w:val="403152" w:themeColor="accent4" w:themeShade="80"/>
    </w:rPr>
  </w:style>
  <w:style w:type="paragraph" w:styleId="TOC4">
    <w:name w:val="toc 4"/>
    <w:basedOn w:val="Normal"/>
    <w:next w:val="Normal"/>
    <w:autoRedefine/>
    <w:uiPriority w:val="39"/>
    <w:unhideWhenUsed/>
    <w:rsid w:val="00F535B2"/>
    <w:pPr>
      <w:tabs>
        <w:tab w:val="left" w:pos="1350"/>
        <w:tab w:val="right" w:leader="dot" w:pos="8460"/>
      </w:tabs>
      <w:spacing w:after="100"/>
      <w:ind w:left="660"/>
    </w:pPr>
    <w:rPr>
      <w:rFonts w:ascii="Verdana" w:hAnsi="Verdana" w:cs="Arial"/>
      <w:noProof/>
      <w:sz w:val="18"/>
      <w:szCs w:val="24"/>
    </w:rPr>
  </w:style>
  <w:style w:type="numbering" w:customStyle="1" w:styleId="Numbered">
    <w:name w:val="Numbered"/>
    <w:basedOn w:val="NoList"/>
    <w:rsid w:val="00137F86"/>
    <w:pPr>
      <w:numPr>
        <w:numId w:val="4"/>
      </w:numPr>
    </w:pPr>
  </w:style>
  <w:style w:type="numbering" w:customStyle="1" w:styleId="NumberedSteps">
    <w:name w:val="Numbered Steps"/>
    <w:basedOn w:val="NoList"/>
    <w:rsid w:val="00137F86"/>
    <w:pPr>
      <w:numPr>
        <w:numId w:val="5"/>
      </w:numPr>
    </w:pPr>
  </w:style>
  <w:style w:type="paragraph" w:customStyle="1" w:styleId="Numbers">
    <w:name w:val="Numbers"/>
    <w:qFormat/>
    <w:rsid w:val="003D68A0"/>
    <w:pPr>
      <w:numPr>
        <w:numId w:val="6"/>
      </w:numPr>
      <w:spacing w:after="120" w:line="240" w:lineRule="auto"/>
    </w:pPr>
    <w:rPr>
      <w:rFonts w:ascii="Arial" w:eastAsia="Times New Roman" w:hAnsi="Arial" w:cs="Times New Roman"/>
      <w:sz w:val="20"/>
      <w:szCs w:val="28"/>
    </w:rPr>
  </w:style>
  <w:style w:type="paragraph" w:customStyle="1" w:styleId="NumbersLast">
    <w:name w:val="Numbers Last"/>
    <w:basedOn w:val="Numbers"/>
    <w:next w:val="BodyParagraph"/>
    <w:rsid w:val="007715BA"/>
    <w:pPr>
      <w:numPr>
        <w:numId w:val="7"/>
      </w:numPr>
      <w:spacing w:after="360"/>
    </w:pPr>
  </w:style>
  <w:style w:type="paragraph" w:customStyle="1" w:styleId="LetterDate">
    <w:name w:val="Letter Date"/>
    <w:next w:val="LetterAddressee"/>
    <w:qFormat/>
    <w:rsid w:val="00EB2941"/>
    <w:pPr>
      <w:spacing w:before="2000" w:line="240" w:lineRule="auto"/>
    </w:pPr>
    <w:rPr>
      <w:rFonts w:ascii="Arial" w:hAnsi="Arial"/>
    </w:rPr>
  </w:style>
  <w:style w:type="paragraph" w:customStyle="1" w:styleId="LetterAddressee">
    <w:name w:val="Letter Addressee"/>
    <w:next w:val="LetterSalutation"/>
    <w:qFormat/>
    <w:rsid w:val="00EB2941"/>
    <w:pPr>
      <w:spacing w:after="0" w:line="240" w:lineRule="auto"/>
    </w:pPr>
    <w:rPr>
      <w:rFonts w:ascii="Arial" w:hAnsi="Arial"/>
    </w:rPr>
  </w:style>
  <w:style w:type="paragraph" w:customStyle="1" w:styleId="LetterSalutation">
    <w:name w:val="Letter Salutation"/>
    <w:next w:val="BodyParagraph"/>
    <w:qFormat/>
    <w:rsid w:val="00EB2941"/>
    <w:pPr>
      <w:spacing w:before="400" w:line="240" w:lineRule="auto"/>
    </w:pPr>
    <w:rPr>
      <w:rFonts w:ascii="Arial" w:hAnsi="Arial"/>
    </w:rPr>
  </w:style>
  <w:style w:type="paragraph" w:customStyle="1" w:styleId="LetterClosing">
    <w:name w:val="Letter Closing"/>
    <w:qFormat/>
    <w:rsid w:val="00EB2941"/>
    <w:pPr>
      <w:spacing w:after="1000" w:line="240" w:lineRule="auto"/>
    </w:pPr>
    <w:rPr>
      <w:rFonts w:ascii="Arial" w:hAnsi="Arial"/>
    </w:rPr>
  </w:style>
  <w:style w:type="paragraph" w:styleId="Caption">
    <w:name w:val="caption"/>
    <w:basedOn w:val="TableFigureCaption"/>
    <w:next w:val="Normal"/>
    <w:link w:val="CaptionChar1"/>
    <w:uiPriority w:val="35"/>
    <w:qFormat/>
    <w:rsid w:val="00A53378"/>
    <w:pPr>
      <w:spacing w:after="0"/>
    </w:pPr>
    <w:rPr>
      <w:rFonts w:eastAsia="Times New Roman" w:cs="Times New Roman"/>
      <w:sz w:val="22"/>
    </w:rPr>
  </w:style>
  <w:style w:type="character" w:customStyle="1" w:styleId="CaptionChar1">
    <w:name w:val="Caption Char1"/>
    <w:link w:val="Caption"/>
    <w:uiPriority w:val="35"/>
    <w:locked/>
    <w:rsid w:val="00A53378"/>
    <w:rPr>
      <w:rFonts w:ascii="Arial" w:eastAsia="Times New Roman" w:hAnsi="Arial" w:cs="Times New Roman"/>
      <w:b/>
    </w:rPr>
  </w:style>
  <w:style w:type="character" w:styleId="CommentReference">
    <w:name w:val="annotation reference"/>
    <w:uiPriority w:val="99"/>
    <w:semiHidden/>
    <w:unhideWhenUsed/>
    <w:rsid w:val="00A53378"/>
    <w:rPr>
      <w:rFonts w:cs="Times New Roman"/>
      <w:sz w:val="16"/>
      <w:szCs w:val="16"/>
    </w:rPr>
  </w:style>
  <w:style w:type="paragraph" w:styleId="CommentText">
    <w:name w:val="annotation text"/>
    <w:basedOn w:val="Normal"/>
    <w:link w:val="CommentTextChar"/>
    <w:uiPriority w:val="99"/>
    <w:semiHidden/>
    <w:unhideWhenUsed/>
    <w:rsid w:val="00A53378"/>
    <w:pPr>
      <w:spacing w:line="240" w:lineRule="auto"/>
    </w:pPr>
    <w:rPr>
      <w:rFonts w:ascii="Calibri" w:eastAsia="Times New Roman" w:hAnsi="Calibri" w:cs="Times New Roman"/>
      <w:sz w:val="20"/>
      <w:szCs w:val="20"/>
    </w:rPr>
  </w:style>
  <w:style w:type="character" w:customStyle="1" w:styleId="CommentTextChar">
    <w:name w:val="Comment Text Char"/>
    <w:basedOn w:val="DefaultParagraphFont"/>
    <w:link w:val="CommentText"/>
    <w:uiPriority w:val="99"/>
    <w:semiHidden/>
    <w:rsid w:val="00A53378"/>
    <w:rPr>
      <w:rFonts w:ascii="Calibri" w:eastAsia="Times New Roman" w:hAnsi="Calibri" w:cs="Times New Roman"/>
      <w:sz w:val="20"/>
      <w:szCs w:val="20"/>
    </w:rPr>
  </w:style>
  <w:style w:type="paragraph" w:styleId="ListParagraph">
    <w:name w:val="List Paragraph"/>
    <w:basedOn w:val="Normal"/>
    <w:uiPriority w:val="34"/>
    <w:qFormat/>
    <w:rsid w:val="00A53378"/>
    <w:pPr>
      <w:ind w:left="720"/>
      <w:contextualSpacing/>
    </w:pPr>
    <w:rPr>
      <w:rFonts w:ascii="Calibri" w:eastAsia="Times New Roman" w:hAnsi="Calibri" w:cs="Times New Roman"/>
    </w:rPr>
  </w:style>
  <w:style w:type="paragraph" w:styleId="CommentSubject">
    <w:name w:val="annotation subject"/>
    <w:basedOn w:val="CommentText"/>
    <w:next w:val="CommentText"/>
    <w:link w:val="CommentSubjectChar"/>
    <w:uiPriority w:val="99"/>
    <w:semiHidden/>
    <w:unhideWhenUsed/>
    <w:rsid w:val="00A53378"/>
    <w:pPr>
      <w:spacing w:line="276" w:lineRule="auto"/>
    </w:pPr>
    <w:rPr>
      <w:b/>
      <w:bCs/>
    </w:rPr>
  </w:style>
  <w:style w:type="character" w:customStyle="1" w:styleId="CommentSubjectChar">
    <w:name w:val="Comment Subject Char"/>
    <w:basedOn w:val="CommentTextChar"/>
    <w:link w:val="CommentSubject"/>
    <w:uiPriority w:val="99"/>
    <w:semiHidden/>
    <w:rsid w:val="00A53378"/>
    <w:rPr>
      <w:rFonts w:ascii="Calibri" w:eastAsia="Times New Roman" w:hAnsi="Calibri" w:cs="Times New Roman"/>
      <w:b/>
      <w:bCs/>
      <w:sz w:val="20"/>
      <w:szCs w:val="20"/>
    </w:rPr>
  </w:style>
  <w:style w:type="paragraph" w:styleId="Revision">
    <w:name w:val="Revision"/>
    <w:hidden/>
    <w:uiPriority w:val="99"/>
    <w:semiHidden/>
    <w:rsid w:val="00A53378"/>
    <w:pPr>
      <w:spacing w:after="0" w:line="240" w:lineRule="auto"/>
    </w:pPr>
    <w:rPr>
      <w:rFonts w:ascii="Calibri" w:eastAsia="Times New Roman" w:hAnsi="Calibri" w:cs="Times New Roman"/>
    </w:rPr>
  </w:style>
  <w:style w:type="character" w:customStyle="1" w:styleId="CaptionChar">
    <w:name w:val="Caption Char"/>
    <w:locked/>
    <w:rsid w:val="00A53378"/>
    <w:rPr>
      <w:rFonts w:ascii="Arial" w:hAnsi="Arial" w:cs="Times New Roman"/>
      <w:b/>
      <w:bCs/>
      <w:lang w:bidi="ar-SA"/>
    </w:rPr>
  </w:style>
  <w:style w:type="character" w:customStyle="1" w:styleId="BodyParagraphChar">
    <w:name w:val="Body Paragraph Char"/>
    <w:link w:val="BodyParagraph"/>
    <w:locked/>
    <w:rsid w:val="00A53378"/>
    <w:rPr>
      <w:rFonts w:ascii="Verdana" w:hAnsi="Verdana"/>
      <w:sz w:val="18"/>
    </w:rPr>
  </w:style>
  <w:style w:type="character" w:styleId="PlaceholderText">
    <w:name w:val="Placeholder Text"/>
    <w:uiPriority w:val="99"/>
    <w:semiHidden/>
    <w:rsid w:val="00A53378"/>
    <w:rPr>
      <w:color w:val="808080"/>
    </w:rPr>
  </w:style>
  <w:style w:type="paragraph" w:styleId="EndnoteText">
    <w:name w:val="endnote text"/>
    <w:basedOn w:val="Normal"/>
    <w:link w:val="EndnoteTextChar"/>
    <w:uiPriority w:val="99"/>
    <w:semiHidden/>
    <w:unhideWhenUsed/>
    <w:rsid w:val="00A53378"/>
    <w:rPr>
      <w:rFonts w:ascii="Calibri" w:eastAsia="Times New Roman" w:hAnsi="Calibri" w:cs="Times New Roman"/>
      <w:sz w:val="20"/>
      <w:szCs w:val="20"/>
    </w:rPr>
  </w:style>
  <w:style w:type="character" w:customStyle="1" w:styleId="EndnoteTextChar">
    <w:name w:val="Endnote Text Char"/>
    <w:basedOn w:val="DefaultParagraphFont"/>
    <w:link w:val="EndnoteText"/>
    <w:uiPriority w:val="99"/>
    <w:semiHidden/>
    <w:rsid w:val="00A53378"/>
    <w:rPr>
      <w:rFonts w:ascii="Calibri" w:eastAsia="Times New Roman" w:hAnsi="Calibri" w:cs="Times New Roman"/>
      <w:sz w:val="20"/>
      <w:szCs w:val="20"/>
    </w:rPr>
  </w:style>
  <w:style w:type="character" w:styleId="EndnoteReference">
    <w:name w:val="endnote reference"/>
    <w:basedOn w:val="DefaultParagraphFont"/>
    <w:uiPriority w:val="99"/>
    <w:semiHidden/>
    <w:unhideWhenUsed/>
    <w:rsid w:val="00A53378"/>
    <w:rPr>
      <w:vertAlign w:val="superscript"/>
    </w:rPr>
  </w:style>
</w:styles>
</file>

<file path=word/webSettings.xml><?xml version="1.0" encoding="utf-8"?>
<w:webSettings xmlns:r="http://schemas.openxmlformats.org/officeDocument/2006/relationships" xmlns:w="http://schemas.openxmlformats.org/wordprocessingml/2006/main">
  <w:divs>
    <w:div w:id="21052836">
      <w:bodyDiv w:val="1"/>
      <w:marLeft w:val="0"/>
      <w:marRight w:val="0"/>
      <w:marTop w:val="0"/>
      <w:marBottom w:val="0"/>
      <w:divBdr>
        <w:top w:val="none" w:sz="0" w:space="0" w:color="auto"/>
        <w:left w:val="none" w:sz="0" w:space="0" w:color="auto"/>
        <w:bottom w:val="none" w:sz="0" w:space="0" w:color="auto"/>
        <w:right w:val="none" w:sz="0" w:space="0" w:color="auto"/>
      </w:divBdr>
    </w:div>
    <w:div w:id="80611029">
      <w:bodyDiv w:val="1"/>
      <w:marLeft w:val="0"/>
      <w:marRight w:val="0"/>
      <w:marTop w:val="0"/>
      <w:marBottom w:val="0"/>
      <w:divBdr>
        <w:top w:val="none" w:sz="0" w:space="0" w:color="auto"/>
        <w:left w:val="none" w:sz="0" w:space="0" w:color="auto"/>
        <w:bottom w:val="none" w:sz="0" w:space="0" w:color="auto"/>
        <w:right w:val="none" w:sz="0" w:space="0" w:color="auto"/>
      </w:divBdr>
    </w:div>
    <w:div w:id="98529319">
      <w:bodyDiv w:val="1"/>
      <w:marLeft w:val="0"/>
      <w:marRight w:val="0"/>
      <w:marTop w:val="0"/>
      <w:marBottom w:val="0"/>
      <w:divBdr>
        <w:top w:val="none" w:sz="0" w:space="0" w:color="auto"/>
        <w:left w:val="none" w:sz="0" w:space="0" w:color="auto"/>
        <w:bottom w:val="none" w:sz="0" w:space="0" w:color="auto"/>
        <w:right w:val="none" w:sz="0" w:space="0" w:color="auto"/>
      </w:divBdr>
    </w:div>
    <w:div w:id="103422445">
      <w:bodyDiv w:val="1"/>
      <w:marLeft w:val="0"/>
      <w:marRight w:val="0"/>
      <w:marTop w:val="0"/>
      <w:marBottom w:val="0"/>
      <w:divBdr>
        <w:top w:val="none" w:sz="0" w:space="0" w:color="auto"/>
        <w:left w:val="none" w:sz="0" w:space="0" w:color="auto"/>
        <w:bottom w:val="none" w:sz="0" w:space="0" w:color="auto"/>
        <w:right w:val="none" w:sz="0" w:space="0" w:color="auto"/>
      </w:divBdr>
    </w:div>
    <w:div w:id="203908616">
      <w:bodyDiv w:val="1"/>
      <w:marLeft w:val="0"/>
      <w:marRight w:val="0"/>
      <w:marTop w:val="0"/>
      <w:marBottom w:val="0"/>
      <w:divBdr>
        <w:top w:val="none" w:sz="0" w:space="0" w:color="auto"/>
        <w:left w:val="none" w:sz="0" w:space="0" w:color="auto"/>
        <w:bottom w:val="none" w:sz="0" w:space="0" w:color="auto"/>
        <w:right w:val="none" w:sz="0" w:space="0" w:color="auto"/>
      </w:divBdr>
    </w:div>
    <w:div w:id="226693620">
      <w:bodyDiv w:val="1"/>
      <w:marLeft w:val="0"/>
      <w:marRight w:val="0"/>
      <w:marTop w:val="0"/>
      <w:marBottom w:val="0"/>
      <w:divBdr>
        <w:top w:val="none" w:sz="0" w:space="0" w:color="auto"/>
        <w:left w:val="none" w:sz="0" w:space="0" w:color="auto"/>
        <w:bottom w:val="none" w:sz="0" w:space="0" w:color="auto"/>
        <w:right w:val="none" w:sz="0" w:space="0" w:color="auto"/>
      </w:divBdr>
    </w:div>
    <w:div w:id="249852042">
      <w:bodyDiv w:val="1"/>
      <w:marLeft w:val="0"/>
      <w:marRight w:val="0"/>
      <w:marTop w:val="0"/>
      <w:marBottom w:val="0"/>
      <w:divBdr>
        <w:top w:val="none" w:sz="0" w:space="0" w:color="auto"/>
        <w:left w:val="none" w:sz="0" w:space="0" w:color="auto"/>
        <w:bottom w:val="none" w:sz="0" w:space="0" w:color="auto"/>
        <w:right w:val="none" w:sz="0" w:space="0" w:color="auto"/>
      </w:divBdr>
    </w:div>
    <w:div w:id="295644614">
      <w:bodyDiv w:val="1"/>
      <w:marLeft w:val="0"/>
      <w:marRight w:val="0"/>
      <w:marTop w:val="0"/>
      <w:marBottom w:val="0"/>
      <w:divBdr>
        <w:top w:val="none" w:sz="0" w:space="0" w:color="auto"/>
        <w:left w:val="none" w:sz="0" w:space="0" w:color="auto"/>
        <w:bottom w:val="none" w:sz="0" w:space="0" w:color="auto"/>
        <w:right w:val="none" w:sz="0" w:space="0" w:color="auto"/>
      </w:divBdr>
    </w:div>
    <w:div w:id="313878474">
      <w:bodyDiv w:val="1"/>
      <w:marLeft w:val="0"/>
      <w:marRight w:val="0"/>
      <w:marTop w:val="0"/>
      <w:marBottom w:val="0"/>
      <w:divBdr>
        <w:top w:val="none" w:sz="0" w:space="0" w:color="auto"/>
        <w:left w:val="none" w:sz="0" w:space="0" w:color="auto"/>
        <w:bottom w:val="none" w:sz="0" w:space="0" w:color="auto"/>
        <w:right w:val="none" w:sz="0" w:space="0" w:color="auto"/>
      </w:divBdr>
    </w:div>
    <w:div w:id="348676816">
      <w:bodyDiv w:val="1"/>
      <w:marLeft w:val="0"/>
      <w:marRight w:val="0"/>
      <w:marTop w:val="0"/>
      <w:marBottom w:val="0"/>
      <w:divBdr>
        <w:top w:val="none" w:sz="0" w:space="0" w:color="auto"/>
        <w:left w:val="none" w:sz="0" w:space="0" w:color="auto"/>
        <w:bottom w:val="none" w:sz="0" w:space="0" w:color="auto"/>
        <w:right w:val="none" w:sz="0" w:space="0" w:color="auto"/>
      </w:divBdr>
    </w:div>
    <w:div w:id="377319157">
      <w:bodyDiv w:val="1"/>
      <w:marLeft w:val="0"/>
      <w:marRight w:val="0"/>
      <w:marTop w:val="0"/>
      <w:marBottom w:val="0"/>
      <w:divBdr>
        <w:top w:val="none" w:sz="0" w:space="0" w:color="auto"/>
        <w:left w:val="none" w:sz="0" w:space="0" w:color="auto"/>
        <w:bottom w:val="none" w:sz="0" w:space="0" w:color="auto"/>
        <w:right w:val="none" w:sz="0" w:space="0" w:color="auto"/>
      </w:divBdr>
    </w:div>
    <w:div w:id="409278893">
      <w:bodyDiv w:val="1"/>
      <w:marLeft w:val="0"/>
      <w:marRight w:val="0"/>
      <w:marTop w:val="0"/>
      <w:marBottom w:val="0"/>
      <w:divBdr>
        <w:top w:val="none" w:sz="0" w:space="0" w:color="auto"/>
        <w:left w:val="none" w:sz="0" w:space="0" w:color="auto"/>
        <w:bottom w:val="none" w:sz="0" w:space="0" w:color="auto"/>
        <w:right w:val="none" w:sz="0" w:space="0" w:color="auto"/>
      </w:divBdr>
    </w:div>
    <w:div w:id="459761613">
      <w:bodyDiv w:val="1"/>
      <w:marLeft w:val="0"/>
      <w:marRight w:val="0"/>
      <w:marTop w:val="0"/>
      <w:marBottom w:val="0"/>
      <w:divBdr>
        <w:top w:val="none" w:sz="0" w:space="0" w:color="auto"/>
        <w:left w:val="none" w:sz="0" w:space="0" w:color="auto"/>
        <w:bottom w:val="none" w:sz="0" w:space="0" w:color="auto"/>
        <w:right w:val="none" w:sz="0" w:space="0" w:color="auto"/>
      </w:divBdr>
    </w:div>
    <w:div w:id="484049276">
      <w:bodyDiv w:val="1"/>
      <w:marLeft w:val="0"/>
      <w:marRight w:val="0"/>
      <w:marTop w:val="0"/>
      <w:marBottom w:val="0"/>
      <w:divBdr>
        <w:top w:val="none" w:sz="0" w:space="0" w:color="auto"/>
        <w:left w:val="none" w:sz="0" w:space="0" w:color="auto"/>
        <w:bottom w:val="none" w:sz="0" w:space="0" w:color="auto"/>
        <w:right w:val="none" w:sz="0" w:space="0" w:color="auto"/>
      </w:divBdr>
    </w:div>
    <w:div w:id="532159350">
      <w:bodyDiv w:val="1"/>
      <w:marLeft w:val="0"/>
      <w:marRight w:val="0"/>
      <w:marTop w:val="0"/>
      <w:marBottom w:val="0"/>
      <w:divBdr>
        <w:top w:val="none" w:sz="0" w:space="0" w:color="auto"/>
        <w:left w:val="none" w:sz="0" w:space="0" w:color="auto"/>
        <w:bottom w:val="none" w:sz="0" w:space="0" w:color="auto"/>
        <w:right w:val="none" w:sz="0" w:space="0" w:color="auto"/>
      </w:divBdr>
    </w:div>
    <w:div w:id="540216884">
      <w:bodyDiv w:val="1"/>
      <w:marLeft w:val="0"/>
      <w:marRight w:val="0"/>
      <w:marTop w:val="0"/>
      <w:marBottom w:val="0"/>
      <w:divBdr>
        <w:top w:val="none" w:sz="0" w:space="0" w:color="auto"/>
        <w:left w:val="none" w:sz="0" w:space="0" w:color="auto"/>
        <w:bottom w:val="none" w:sz="0" w:space="0" w:color="auto"/>
        <w:right w:val="none" w:sz="0" w:space="0" w:color="auto"/>
      </w:divBdr>
    </w:div>
    <w:div w:id="710569418">
      <w:bodyDiv w:val="1"/>
      <w:marLeft w:val="0"/>
      <w:marRight w:val="0"/>
      <w:marTop w:val="0"/>
      <w:marBottom w:val="0"/>
      <w:divBdr>
        <w:top w:val="none" w:sz="0" w:space="0" w:color="auto"/>
        <w:left w:val="none" w:sz="0" w:space="0" w:color="auto"/>
        <w:bottom w:val="none" w:sz="0" w:space="0" w:color="auto"/>
        <w:right w:val="none" w:sz="0" w:space="0" w:color="auto"/>
      </w:divBdr>
    </w:div>
    <w:div w:id="764424127">
      <w:bodyDiv w:val="1"/>
      <w:marLeft w:val="0"/>
      <w:marRight w:val="0"/>
      <w:marTop w:val="0"/>
      <w:marBottom w:val="0"/>
      <w:divBdr>
        <w:top w:val="none" w:sz="0" w:space="0" w:color="auto"/>
        <w:left w:val="none" w:sz="0" w:space="0" w:color="auto"/>
        <w:bottom w:val="none" w:sz="0" w:space="0" w:color="auto"/>
        <w:right w:val="none" w:sz="0" w:space="0" w:color="auto"/>
      </w:divBdr>
    </w:div>
    <w:div w:id="788474896">
      <w:bodyDiv w:val="1"/>
      <w:marLeft w:val="0"/>
      <w:marRight w:val="0"/>
      <w:marTop w:val="0"/>
      <w:marBottom w:val="0"/>
      <w:divBdr>
        <w:top w:val="none" w:sz="0" w:space="0" w:color="auto"/>
        <w:left w:val="none" w:sz="0" w:space="0" w:color="auto"/>
        <w:bottom w:val="none" w:sz="0" w:space="0" w:color="auto"/>
        <w:right w:val="none" w:sz="0" w:space="0" w:color="auto"/>
      </w:divBdr>
    </w:div>
    <w:div w:id="804079702">
      <w:bodyDiv w:val="1"/>
      <w:marLeft w:val="0"/>
      <w:marRight w:val="0"/>
      <w:marTop w:val="0"/>
      <w:marBottom w:val="0"/>
      <w:divBdr>
        <w:top w:val="none" w:sz="0" w:space="0" w:color="auto"/>
        <w:left w:val="none" w:sz="0" w:space="0" w:color="auto"/>
        <w:bottom w:val="none" w:sz="0" w:space="0" w:color="auto"/>
        <w:right w:val="none" w:sz="0" w:space="0" w:color="auto"/>
      </w:divBdr>
    </w:div>
    <w:div w:id="818575472">
      <w:bodyDiv w:val="1"/>
      <w:marLeft w:val="0"/>
      <w:marRight w:val="0"/>
      <w:marTop w:val="0"/>
      <w:marBottom w:val="0"/>
      <w:divBdr>
        <w:top w:val="none" w:sz="0" w:space="0" w:color="auto"/>
        <w:left w:val="none" w:sz="0" w:space="0" w:color="auto"/>
        <w:bottom w:val="none" w:sz="0" w:space="0" w:color="auto"/>
        <w:right w:val="none" w:sz="0" w:space="0" w:color="auto"/>
      </w:divBdr>
    </w:div>
    <w:div w:id="824736886">
      <w:bodyDiv w:val="1"/>
      <w:marLeft w:val="0"/>
      <w:marRight w:val="0"/>
      <w:marTop w:val="0"/>
      <w:marBottom w:val="0"/>
      <w:divBdr>
        <w:top w:val="none" w:sz="0" w:space="0" w:color="auto"/>
        <w:left w:val="none" w:sz="0" w:space="0" w:color="auto"/>
        <w:bottom w:val="none" w:sz="0" w:space="0" w:color="auto"/>
        <w:right w:val="none" w:sz="0" w:space="0" w:color="auto"/>
      </w:divBdr>
    </w:div>
    <w:div w:id="830095514">
      <w:bodyDiv w:val="1"/>
      <w:marLeft w:val="0"/>
      <w:marRight w:val="0"/>
      <w:marTop w:val="0"/>
      <w:marBottom w:val="0"/>
      <w:divBdr>
        <w:top w:val="none" w:sz="0" w:space="0" w:color="auto"/>
        <w:left w:val="none" w:sz="0" w:space="0" w:color="auto"/>
        <w:bottom w:val="none" w:sz="0" w:space="0" w:color="auto"/>
        <w:right w:val="none" w:sz="0" w:space="0" w:color="auto"/>
      </w:divBdr>
    </w:div>
    <w:div w:id="848256359">
      <w:bodyDiv w:val="1"/>
      <w:marLeft w:val="0"/>
      <w:marRight w:val="0"/>
      <w:marTop w:val="0"/>
      <w:marBottom w:val="0"/>
      <w:divBdr>
        <w:top w:val="none" w:sz="0" w:space="0" w:color="auto"/>
        <w:left w:val="none" w:sz="0" w:space="0" w:color="auto"/>
        <w:bottom w:val="none" w:sz="0" w:space="0" w:color="auto"/>
        <w:right w:val="none" w:sz="0" w:space="0" w:color="auto"/>
      </w:divBdr>
    </w:div>
    <w:div w:id="865413289">
      <w:bodyDiv w:val="1"/>
      <w:marLeft w:val="0"/>
      <w:marRight w:val="0"/>
      <w:marTop w:val="0"/>
      <w:marBottom w:val="0"/>
      <w:divBdr>
        <w:top w:val="none" w:sz="0" w:space="0" w:color="auto"/>
        <w:left w:val="none" w:sz="0" w:space="0" w:color="auto"/>
        <w:bottom w:val="none" w:sz="0" w:space="0" w:color="auto"/>
        <w:right w:val="none" w:sz="0" w:space="0" w:color="auto"/>
      </w:divBdr>
    </w:div>
    <w:div w:id="1019234628">
      <w:bodyDiv w:val="1"/>
      <w:marLeft w:val="0"/>
      <w:marRight w:val="0"/>
      <w:marTop w:val="0"/>
      <w:marBottom w:val="0"/>
      <w:divBdr>
        <w:top w:val="none" w:sz="0" w:space="0" w:color="auto"/>
        <w:left w:val="none" w:sz="0" w:space="0" w:color="auto"/>
        <w:bottom w:val="none" w:sz="0" w:space="0" w:color="auto"/>
        <w:right w:val="none" w:sz="0" w:space="0" w:color="auto"/>
      </w:divBdr>
    </w:div>
    <w:div w:id="1030447984">
      <w:bodyDiv w:val="1"/>
      <w:marLeft w:val="0"/>
      <w:marRight w:val="0"/>
      <w:marTop w:val="0"/>
      <w:marBottom w:val="0"/>
      <w:divBdr>
        <w:top w:val="none" w:sz="0" w:space="0" w:color="auto"/>
        <w:left w:val="none" w:sz="0" w:space="0" w:color="auto"/>
        <w:bottom w:val="none" w:sz="0" w:space="0" w:color="auto"/>
        <w:right w:val="none" w:sz="0" w:space="0" w:color="auto"/>
      </w:divBdr>
    </w:div>
    <w:div w:id="1082797342">
      <w:bodyDiv w:val="1"/>
      <w:marLeft w:val="0"/>
      <w:marRight w:val="0"/>
      <w:marTop w:val="0"/>
      <w:marBottom w:val="0"/>
      <w:divBdr>
        <w:top w:val="none" w:sz="0" w:space="0" w:color="auto"/>
        <w:left w:val="none" w:sz="0" w:space="0" w:color="auto"/>
        <w:bottom w:val="none" w:sz="0" w:space="0" w:color="auto"/>
        <w:right w:val="none" w:sz="0" w:space="0" w:color="auto"/>
      </w:divBdr>
    </w:div>
    <w:div w:id="1097215741">
      <w:bodyDiv w:val="1"/>
      <w:marLeft w:val="0"/>
      <w:marRight w:val="0"/>
      <w:marTop w:val="0"/>
      <w:marBottom w:val="0"/>
      <w:divBdr>
        <w:top w:val="none" w:sz="0" w:space="0" w:color="auto"/>
        <w:left w:val="none" w:sz="0" w:space="0" w:color="auto"/>
        <w:bottom w:val="none" w:sz="0" w:space="0" w:color="auto"/>
        <w:right w:val="none" w:sz="0" w:space="0" w:color="auto"/>
      </w:divBdr>
    </w:div>
    <w:div w:id="1167591993">
      <w:bodyDiv w:val="1"/>
      <w:marLeft w:val="0"/>
      <w:marRight w:val="0"/>
      <w:marTop w:val="0"/>
      <w:marBottom w:val="0"/>
      <w:divBdr>
        <w:top w:val="none" w:sz="0" w:space="0" w:color="auto"/>
        <w:left w:val="none" w:sz="0" w:space="0" w:color="auto"/>
        <w:bottom w:val="none" w:sz="0" w:space="0" w:color="auto"/>
        <w:right w:val="none" w:sz="0" w:space="0" w:color="auto"/>
      </w:divBdr>
    </w:div>
    <w:div w:id="1245644687">
      <w:bodyDiv w:val="1"/>
      <w:marLeft w:val="0"/>
      <w:marRight w:val="0"/>
      <w:marTop w:val="0"/>
      <w:marBottom w:val="0"/>
      <w:divBdr>
        <w:top w:val="none" w:sz="0" w:space="0" w:color="auto"/>
        <w:left w:val="none" w:sz="0" w:space="0" w:color="auto"/>
        <w:bottom w:val="none" w:sz="0" w:space="0" w:color="auto"/>
        <w:right w:val="none" w:sz="0" w:space="0" w:color="auto"/>
      </w:divBdr>
    </w:div>
    <w:div w:id="1335911969">
      <w:bodyDiv w:val="1"/>
      <w:marLeft w:val="0"/>
      <w:marRight w:val="0"/>
      <w:marTop w:val="0"/>
      <w:marBottom w:val="0"/>
      <w:divBdr>
        <w:top w:val="none" w:sz="0" w:space="0" w:color="auto"/>
        <w:left w:val="none" w:sz="0" w:space="0" w:color="auto"/>
        <w:bottom w:val="none" w:sz="0" w:space="0" w:color="auto"/>
        <w:right w:val="none" w:sz="0" w:space="0" w:color="auto"/>
      </w:divBdr>
    </w:div>
    <w:div w:id="1440177806">
      <w:bodyDiv w:val="1"/>
      <w:marLeft w:val="0"/>
      <w:marRight w:val="0"/>
      <w:marTop w:val="0"/>
      <w:marBottom w:val="0"/>
      <w:divBdr>
        <w:top w:val="none" w:sz="0" w:space="0" w:color="auto"/>
        <w:left w:val="none" w:sz="0" w:space="0" w:color="auto"/>
        <w:bottom w:val="none" w:sz="0" w:space="0" w:color="auto"/>
        <w:right w:val="none" w:sz="0" w:space="0" w:color="auto"/>
      </w:divBdr>
      <w:divsChild>
        <w:div w:id="289626090">
          <w:marLeft w:val="0"/>
          <w:marRight w:val="0"/>
          <w:marTop w:val="0"/>
          <w:marBottom w:val="0"/>
          <w:divBdr>
            <w:top w:val="none" w:sz="0" w:space="0" w:color="auto"/>
            <w:left w:val="none" w:sz="0" w:space="0" w:color="auto"/>
            <w:bottom w:val="none" w:sz="0" w:space="0" w:color="auto"/>
            <w:right w:val="none" w:sz="0" w:space="0" w:color="auto"/>
          </w:divBdr>
          <w:divsChild>
            <w:div w:id="1937900054">
              <w:marLeft w:val="0"/>
              <w:marRight w:val="0"/>
              <w:marTop w:val="112"/>
              <w:marBottom w:val="0"/>
              <w:divBdr>
                <w:top w:val="single" w:sz="8" w:space="6" w:color="666666"/>
                <w:left w:val="none" w:sz="0" w:space="0" w:color="auto"/>
                <w:bottom w:val="none" w:sz="0" w:space="0" w:color="auto"/>
                <w:right w:val="none" w:sz="0" w:space="0" w:color="auto"/>
              </w:divBdr>
            </w:div>
          </w:divsChild>
        </w:div>
      </w:divsChild>
    </w:div>
    <w:div w:id="1445612307">
      <w:bodyDiv w:val="1"/>
      <w:marLeft w:val="0"/>
      <w:marRight w:val="0"/>
      <w:marTop w:val="0"/>
      <w:marBottom w:val="0"/>
      <w:divBdr>
        <w:top w:val="none" w:sz="0" w:space="0" w:color="auto"/>
        <w:left w:val="none" w:sz="0" w:space="0" w:color="auto"/>
        <w:bottom w:val="none" w:sz="0" w:space="0" w:color="auto"/>
        <w:right w:val="none" w:sz="0" w:space="0" w:color="auto"/>
      </w:divBdr>
    </w:div>
    <w:div w:id="1445730959">
      <w:bodyDiv w:val="1"/>
      <w:marLeft w:val="0"/>
      <w:marRight w:val="0"/>
      <w:marTop w:val="0"/>
      <w:marBottom w:val="0"/>
      <w:divBdr>
        <w:top w:val="none" w:sz="0" w:space="0" w:color="auto"/>
        <w:left w:val="none" w:sz="0" w:space="0" w:color="auto"/>
        <w:bottom w:val="none" w:sz="0" w:space="0" w:color="auto"/>
        <w:right w:val="none" w:sz="0" w:space="0" w:color="auto"/>
      </w:divBdr>
    </w:div>
    <w:div w:id="1473137104">
      <w:bodyDiv w:val="1"/>
      <w:marLeft w:val="0"/>
      <w:marRight w:val="0"/>
      <w:marTop w:val="0"/>
      <w:marBottom w:val="0"/>
      <w:divBdr>
        <w:top w:val="none" w:sz="0" w:space="0" w:color="auto"/>
        <w:left w:val="none" w:sz="0" w:space="0" w:color="auto"/>
        <w:bottom w:val="none" w:sz="0" w:space="0" w:color="auto"/>
        <w:right w:val="none" w:sz="0" w:space="0" w:color="auto"/>
      </w:divBdr>
    </w:div>
    <w:div w:id="1545488191">
      <w:bodyDiv w:val="1"/>
      <w:marLeft w:val="0"/>
      <w:marRight w:val="0"/>
      <w:marTop w:val="0"/>
      <w:marBottom w:val="0"/>
      <w:divBdr>
        <w:top w:val="none" w:sz="0" w:space="0" w:color="auto"/>
        <w:left w:val="none" w:sz="0" w:space="0" w:color="auto"/>
        <w:bottom w:val="none" w:sz="0" w:space="0" w:color="auto"/>
        <w:right w:val="none" w:sz="0" w:space="0" w:color="auto"/>
      </w:divBdr>
    </w:div>
    <w:div w:id="1815874705">
      <w:bodyDiv w:val="1"/>
      <w:marLeft w:val="0"/>
      <w:marRight w:val="0"/>
      <w:marTop w:val="0"/>
      <w:marBottom w:val="0"/>
      <w:divBdr>
        <w:top w:val="none" w:sz="0" w:space="0" w:color="auto"/>
        <w:left w:val="none" w:sz="0" w:space="0" w:color="auto"/>
        <w:bottom w:val="none" w:sz="0" w:space="0" w:color="auto"/>
        <w:right w:val="none" w:sz="0" w:space="0" w:color="auto"/>
      </w:divBdr>
    </w:div>
    <w:div w:id="1893424472">
      <w:bodyDiv w:val="1"/>
      <w:marLeft w:val="0"/>
      <w:marRight w:val="0"/>
      <w:marTop w:val="0"/>
      <w:marBottom w:val="0"/>
      <w:divBdr>
        <w:top w:val="none" w:sz="0" w:space="0" w:color="auto"/>
        <w:left w:val="none" w:sz="0" w:space="0" w:color="auto"/>
        <w:bottom w:val="none" w:sz="0" w:space="0" w:color="auto"/>
        <w:right w:val="none" w:sz="0" w:space="0" w:color="auto"/>
      </w:divBdr>
    </w:div>
    <w:div w:id="1896810954">
      <w:bodyDiv w:val="1"/>
      <w:marLeft w:val="0"/>
      <w:marRight w:val="0"/>
      <w:marTop w:val="0"/>
      <w:marBottom w:val="0"/>
      <w:divBdr>
        <w:top w:val="none" w:sz="0" w:space="0" w:color="auto"/>
        <w:left w:val="none" w:sz="0" w:space="0" w:color="auto"/>
        <w:bottom w:val="none" w:sz="0" w:space="0" w:color="auto"/>
        <w:right w:val="none" w:sz="0" w:space="0" w:color="auto"/>
      </w:divBdr>
    </w:div>
    <w:div w:id="2002998528">
      <w:bodyDiv w:val="1"/>
      <w:marLeft w:val="0"/>
      <w:marRight w:val="0"/>
      <w:marTop w:val="0"/>
      <w:marBottom w:val="0"/>
      <w:divBdr>
        <w:top w:val="none" w:sz="0" w:space="0" w:color="auto"/>
        <w:left w:val="none" w:sz="0" w:space="0" w:color="auto"/>
        <w:bottom w:val="none" w:sz="0" w:space="0" w:color="auto"/>
        <w:right w:val="none" w:sz="0" w:space="0" w:color="auto"/>
      </w:divBdr>
    </w:div>
    <w:div w:id="2083480258">
      <w:bodyDiv w:val="1"/>
      <w:marLeft w:val="0"/>
      <w:marRight w:val="0"/>
      <w:marTop w:val="0"/>
      <w:marBottom w:val="0"/>
      <w:divBdr>
        <w:top w:val="none" w:sz="0" w:space="0" w:color="auto"/>
        <w:left w:val="none" w:sz="0" w:space="0" w:color="auto"/>
        <w:bottom w:val="none" w:sz="0" w:space="0" w:color="auto"/>
        <w:right w:val="none" w:sz="0" w:space="0" w:color="auto"/>
      </w:divBdr>
    </w:div>
    <w:div w:id="2091847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4.xml"/><Relationship Id="rId26" Type="http://schemas.openxmlformats.org/officeDocument/2006/relationships/image" Target="media/image8.wmf"/><Relationship Id="rId39" Type="http://schemas.openxmlformats.org/officeDocument/2006/relationships/image" Target="cid:image001.png@01CE10E6.41B693D0" TargetMode="External"/><Relationship Id="rId21" Type="http://schemas.openxmlformats.org/officeDocument/2006/relationships/image" Target="media/image7.png"/><Relationship Id="rId34" Type="http://schemas.openxmlformats.org/officeDocument/2006/relationships/chart" Target="charts/chart3.xml"/><Relationship Id="rId42" Type="http://schemas.openxmlformats.org/officeDocument/2006/relationships/image" Target="media/image17.emf"/><Relationship Id="rId47" Type="http://schemas.openxmlformats.org/officeDocument/2006/relationships/header" Target="header11.xml"/><Relationship Id="rId50" Type="http://schemas.openxmlformats.org/officeDocument/2006/relationships/image" Target="media/image22.emf"/><Relationship Id="rId55" Type="http://schemas.openxmlformats.org/officeDocument/2006/relationships/image" Target="media/image26.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oleObject" Target="embeddings/oleObject2.bin"/><Relationship Id="rId41" Type="http://schemas.openxmlformats.org/officeDocument/2006/relationships/image" Target="media/image16.emf"/><Relationship Id="rId54" Type="http://schemas.openxmlformats.org/officeDocument/2006/relationships/image" Target="media/image25.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32" Type="http://schemas.openxmlformats.org/officeDocument/2006/relationships/image" Target="media/image11.emf"/><Relationship Id="rId37" Type="http://schemas.openxmlformats.org/officeDocument/2006/relationships/image" Target="media/image14.emf"/><Relationship Id="rId40" Type="http://schemas.openxmlformats.org/officeDocument/2006/relationships/header" Target="header8.xml"/><Relationship Id="rId45" Type="http://schemas.openxmlformats.org/officeDocument/2006/relationships/header" Target="header10.xml"/><Relationship Id="rId53" Type="http://schemas.openxmlformats.org/officeDocument/2006/relationships/header" Target="header12.xml"/><Relationship Id="rId58" Type="http://schemas.openxmlformats.org/officeDocument/2006/relationships/image" Target="media/image28.emf"/><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5.xml"/><Relationship Id="rId28" Type="http://schemas.openxmlformats.org/officeDocument/2006/relationships/image" Target="media/image9.wmf"/><Relationship Id="rId36" Type="http://schemas.openxmlformats.org/officeDocument/2006/relationships/image" Target="media/image13.emf"/><Relationship Id="rId49" Type="http://schemas.openxmlformats.org/officeDocument/2006/relationships/image" Target="media/image21.emf"/><Relationship Id="rId57" Type="http://schemas.openxmlformats.org/officeDocument/2006/relationships/image" Target="media/image27.emf"/><Relationship Id="rId61" Type="http://schemas.openxmlformats.org/officeDocument/2006/relationships/header" Target="header14.xml"/><Relationship Id="rId10" Type="http://schemas.openxmlformats.org/officeDocument/2006/relationships/image" Target="media/image3.png"/><Relationship Id="rId19" Type="http://schemas.openxmlformats.org/officeDocument/2006/relationships/header" Target="header4.xml"/><Relationship Id="rId31" Type="http://schemas.openxmlformats.org/officeDocument/2006/relationships/image" Target="media/image10.emf"/><Relationship Id="rId44" Type="http://schemas.openxmlformats.org/officeDocument/2006/relationships/image" Target="media/image18.png"/><Relationship Id="rId52" Type="http://schemas.openxmlformats.org/officeDocument/2006/relationships/image" Target="media/image24.emf"/><Relationship Id="rId60"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oter" Target="footer6.xml"/><Relationship Id="rId27" Type="http://schemas.openxmlformats.org/officeDocument/2006/relationships/oleObject" Target="embeddings/oleObject1.bin"/><Relationship Id="rId30" Type="http://schemas.openxmlformats.org/officeDocument/2006/relationships/header" Target="header6.xml"/><Relationship Id="rId35" Type="http://schemas.openxmlformats.org/officeDocument/2006/relationships/image" Target="media/image12.emf"/><Relationship Id="rId43" Type="http://schemas.openxmlformats.org/officeDocument/2006/relationships/header" Target="header9.xml"/><Relationship Id="rId48" Type="http://schemas.openxmlformats.org/officeDocument/2006/relationships/image" Target="media/image20.emf"/><Relationship Id="rId56" Type="http://schemas.openxmlformats.org/officeDocument/2006/relationships/header" Target="header13.xml"/><Relationship Id="rId64" Type="http://schemas.microsoft.com/office/2007/relationships/stylesWithEffects" Target="stylesWithEffects.xml"/><Relationship Id="rId8" Type="http://schemas.openxmlformats.org/officeDocument/2006/relationships/image" Target="media/image1.jpeg"/><Relationship Id="rId51" Type="http://schemas.openxmlformats.org/officeDocument/2006/relationships/image" Target="media/image23.em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chart" Target="charts/chart2.xml"/><Relationship Id="rId33" Type="http://schemas.openxmlformats.org/officeDocument/2006/relationships/header" Target="header7.xml"/><Relationship Id="rId38" Type="http://schemas.openxmlformats.org/officeDocument/2006/relationships/image" Target="media/image15.gif"/><Relationship Id="rId46" Type="http://schemas.openxmlformats.org/officeDocument/2006/relationships/image" Target="media/image19.emf"/><Relationship Id="rId59" Type="http://schemas.openxmlformats.org/officeDocument/2006/relationships/image" Target="media/image29.png"/></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footer6.xml.rels><?xml version="1.0" encoding="UTF-8" standalone="yes"?>
<Relationships xmlns="http://schemas.openxmlformats.org/package/2006/relationships"><Relationship Id="rId1" Type="http://schemas.openxmlformats.org/officeDocument/2006/relationships/image" Target="media/image5.jpeg"/></Relationships>
</file>

<file path=word/_rels/footnotes.xml.rels><?xml version="1.0" encoding="UTF-8" standalone="yes"?>
<Relationships xmlns="http://schemas.openxmlformats.org/package/2006/relationships"><Relationship Id="rId2" Type="http://schemas.openxmlformats.org/officeDocument/2006/relationships/hyperlink" Target="http://www.pge.com/nots/rates/tariffs/electric.shtml" TargetMode="External"/><Relationship Id="rId1" Type="http://schemas.openxmlformats.org/officeDocument/2006/relationships/hyperlink" Target="http://www.pge.com/nots/rates/tariffs/electric.shtm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1" Type="http://schemas.openxmlformats.org/officeDocument/2006/relationships/oleObject" Target="file:///\\ENERGY2\Data\FSC\1639%20PG&amp;E%20Residential%20TVP%20Evaluation\Output\SMR%20Matching%20Output%20-%20VERSION%205%20(opower).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NERGY2\Data\FSC\1639%20PG&amp;E%20Residential%20TVP%20Evaluation\Output\SmartRate%20FINAL%20TABLES.xlsx" TargetMode="Externa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lang val="en-US"/>
  <c:pivotSource>
    <c:name>[SMR Matching Output - VERSION 5 (opower).xlsx]Pivot 1!PivotTable8</c:name>
    <c:fmtId val="-1"/>
  </c:pivotSource>
  <c:chart>
    <c:pivotFmts>
      <c:pivotFmt>
        <c:idx val="0"/>
        <c:marker>
          <c:symbol val="none"/>
        </c:marker>
      </c:pivotFmt>
      <c:pivotFmt>
        <c:idx val="1"/>
        <c:marker>
          <c:symbol val="none"/>
        </c:marker>
      </c:pivotFmt>
      <c:pivotFmt>
        <c:idx val="2"/>
        <c:marker>
          <c:symbol val="none"/>
        </c:marker>
      </c:pivotFmt>
      <c:pivotFmt>
        <c:idx val="3"/>
        <c:marker>
          <c:symbol val="none"/>
        </c:marker>
      </c:pivotFmt>
      <c:pivotFmt>
        <c:idx val="4"/>
        <c:marker>
          <c:symbol val="none"/>
        </c:marker>
      </c:pivotFmt>
      <c:pivotFmt>
        <c:idx val="5"/>
        <c:marker>
          <c:symbol val="none"/>
        </c:marker>
      </c:pivotFmt>
      <c:pivotFmt>
        <c:idx val="6"/>
        <c:marker>
          <c:symbol val="none"/>
        </c:marker>
      </c:pivotFmt>
      <c:pivotFmt>
        <c:idx val="7"/>
        <c:marker>
          <c:symbol val="none"/>
        </c:marker>
      </c:pivotFmt>
      <c:pivotFmt>
        <c:idx val="8"/>
        <c:marker>
          <c:symbol val="none"/>
        </c:marker>
      </c:pivotFmt>
    </c:pivotFmts>
    <c:plotArea>
      <c:layout>
        <c:manualLayout>
          <c:layoutTarget val="inner"/>
          <c:xMode val="edge"/>
          <c:yMode val="edge"/>
          <c:x val="4.6042720325576984E-2"/>
          <c:y val="7.0942990637884423E-2"/>
          <c:w val="0.93687000272936161"/>
          <c:h val="0.84114139382325814"/>
        </c:manualLayout>
      </c:layout>
      <c:lineChart>
        <c:grouping val="standard"/>
        <c:ser>
          <c:idx val="0"/>
          <c:order val="0"/>
          <c:tx>
            <c:strRef>
              <c:f>'Pivot 1'!$B$4:$B$5</c:f>
              <c:strCache>
                <c:ptCount val="1"/>
                <c:pt idx="0">
                  <c:v>Control</c:v>
                </c:pt>
              </c:strCache>
            </c:strRef>
          </c:tx>
          <c:marker>
            <c:symbol val="none"/>
          </c:marker>
          <c:cat>
            <c:strRef>
              <c:f>'Pivot 1'!$A$6:$A$30</c:f>
              <c:strCach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strCache>
            </c:strRef>
          </c:cat>
          <c:val>
            <c:numRef>
              <c:f>'Pivot 1'!$B$6:$B$30</c:f>
              <c:numCache>
                <c:formatCode>General</c:formatCode>
                <c:ptCount val="24"/>
                <c:pt idx="0">
                  <c:v>0.90929666428571421</c:v>
                </c:pt>
                <c:pt idx="1">
                  <c:v>0.78458393428571416</c:v>
                </c:pt>
                <c:pt idx="2">
                  <c:v>0.70314000714285763</c:v>
                </c:pt>
                <c:pt idx="3">
                  <c:v>0.65489931857143358</c:v>
                </c:pt>
                <c:pt idx="4">
                  <c:v>0.63089013000000305</c:v>
                </c:pt>
                <c:pt idx="5">
                  <c:v>0.64160066285714512</c:v>
                </c:pt>
                <c:pt idx="6">
                  <c:v>0.6896197642857157</c:v>
                </c:pt>
                <c:pt idx="7">
                  <c:v>0.76098178857142862</c:v>
                </c:pt>
                <c:pt idx="8">
                  <c:v>0.83559794000000009</c:v>
                </c:pt>
                <c:pt idx="9">
                  <c:v>0.91854132142857414</c:v>
                </c:pt>
                <c:pt idx="10">
                  <c:v>1.0180078814285769</c:v>
                </c:pt>
                <c:pt idx="11">
                  <c:v>1.1438917414285714</c:v>
                </c:pt>
                <c:pt idx="12">
                  <c:v>1.2892993971428481</c:v>
                </c:pt>
                <c:pt idx="13">
                  <c:v>1.439374874285714</c:v>
                </c:pt>
                <c:pt idx="14">
                  <c:v>1.581071249999995</c:v>
                </c:pt>
                <c:pt idx="15">
                  <c:v>1.727103258571425</c:v>
                </c:pt>
                <c:pt idx="16">
                  <c:v>1.866098418571428</c:v>
                </c:pt>
                <c:pt idx="17">
                  <c:v>1.9658149942857168</c:v>
                </c:pt>
                <c:pt idx="18">
                  <c:v>1.9812919499999981</c:v>
                </c:pt>
                <c:pt idx="19">
                  <c:v>1.8986280599999998</c:v>
                </c:pt>
                <c:pt idx="20">
                  <c:v>1.780431348571428</c:v>
                </c:pt>
                <c:pt idx="21">
                  <c:v>1.65041221</c:v>
                </c:pt>
                <c:pt idx="22">
                  <c:v>1.3962630300000001</c:v>
                </c:pt>
                <c:pt idx="23">
                  <c:v>1.1306634485714286</c:v>
                </c:pt>
              </c:numCache>
            </c:numRef>
          </c:val>
        </c:ser>
        <c:ser>
          <c:idx val="1"/>
          <c:order val="1"/>
          <c:tx>
            <c:strRef>
              <c:f>'Pivot 1'!$C$4:$C$5</c:f>
              <c:strCache>
                <c:ptCount val="1"/>
                <c:pt idx="0">
                  <c:v>SmartRate</c:v>
                </c:pt>
              </c:strCache>
            </c:strRef>
          </c:tx>
          <c:marker>
            <c:symbol val="none"/>
          </c:marker>
          <c:cat>
            <c:strRef>
              <c:f>'Pivot 1'!$A$6:$A$30</c:f>
              <c:strCache>
                <c:ptCount val="2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strCache>
            </c:strRef>
          </c:cat>
          <c:val>
            <c:numRef>
              <c:f>'Pivot 1'!$C$6:$C$30</c:f>
              <c:numCache>
                <c:formatCode>General</c:formatCode>
                <c:ptCount val="24"/>
                <c:pt idx="0">
                  <c:v>0.90586462428571413</c:v>
                </c:pt>
                <c:pt idx="1">
                  <c:v>0.77778263857143082</c:v>
                </c:pt>
                <c:pt idx="2">
                  <c:v>0.69938983714285863</c:v>
                </c:pt>
                <c:pt idx="3">
                  <c:v>0.64951388000000021</c:v>
                </c:pt>
                <c:pt idx="4">
                  <c:v>0.63040915000000064</c:v>
                </c:pt>
                <c:pt idx="5">
                  <c:v>0.6362179957142855</c:v>
                </c:pt>
                <c:pt idx="6">
                  <c:v>0.68965311571428678</c:v>
                </c:pt>
                <c:pt idx="7">
                  <c:v>0.77059028000000052</c:v>
                </c:pt>
                <c:pt idx="8">
                  <c:v>0.84037581714286003</c:v>
                </c:pt>
                <c:pt idx="9">
                  <c:v>0.92288829428571462</c:v>
                </c:pt>
                <c:pt idx="10">
                  <c:v>1.0241231957142858</c:v>
                </c:pt>
                <c:pt idx="11">
                  <c:v>1.1467582142857191</c:v>
                </c:pt>
                <c:pt idx="12">
                  <c:v>1.2937849914285717</c:v>
                </c:pt>
                <c:pt idx="13">
                  <c:v>1.4407948042857139</c:v>
                </c:pt>
                <c:pt idx="14">
                  <c:v>1.581682427142858</c:v>
                </c:pt>
                <c:pt idx="15">
                  <c:v>1.7366662342857164</c:v>
                </c:pt>
                <c:pt idx="16">
                  <c:v>1.8798015685714282</c:v>
                </c:pt>
                <c:pt idx="17">
                  <c:v>1.9782763114285749</c:v>
                </c:pt>
                <c:pt idx="18">
                  <c:v>1.9917530628571418</c:v>
                </c:pt>
                <c:pt idx="19">
                  <c:v>1.9297331499999983</c:v>
                </c:pt>
                <c:pt idx="20">
                  <c:v>1.8271608857142858</c:v>
                </c:pt>
                <c:pt idx="21">
                  <c:v>1.6965038771428567</c:v>
                </c:pt>
                <c:pt idx="22">
                  <c:v>1.4244972328571384</c:v>
                </c:pt>
                <c:pt idx="23">
                  <c:v>1.1370071942857201</c:v>
                </c:pt>
              </c:numCache>
            </c:numRef>
          </c:val>
        </c:ser>
        <c:dLbls/>
        <c:marker val="1"/>
        <c:axId val="102137216"/>
        <c:axId val="102143488"/>
      </c:lineChart>
      <c:catAx>
        <c:axId val="102137216"/>
        <c:scaling>
          <c:orientation val="minMax"/>
        </c:scaling>
        <c:axPos val="b"/>
        <c:title>
          <c:tx>
            <c:rich>
              <a:bodyPr/>
              <a:lstStyle/>
              <a:p>
                <a:pPr>
                  <a:defRPr sz="1100"/>
                </a:pPr>
                <a:r>
                  <a:rPr lang="en-US" sz="1100"/>
                  <a:t>Hour Ending</a:t>
                </a:r>
              </a:p>
            </c:rich>
          </c:tx>
        </c:title>
        <c:tickLblPos val="nextTo"/>
        <c:crossAx val="102143488"/>
        <c:crosses val="autoZero"/>
        <c:auto val="1"/>
        <c:lblAlgn val="ctr"/>
        <c:lblOffset val="100"/>
      </c:catAx>
      <c:valAx>
        <c:axId val="102143488"/>
        <c:scaling>
          <c:orientation val="minMax"/>
        </c:scaling>
        <c:axPos val="l"/>
        <c:majorGridlines/>
        <c:title>
          <c:tx>
            <c:rich>
              <a:bodyPr rot="-5400000" vert="horz"/>
              <a:lstStyle/>
              <a:p>
                <a:pPr>
                  <a:defRPr sz="1100"/>
                </a:pPr>
                <a:r>
                  <a:rPr lang="en-US" sz="1100"/>
                  <a:t>kW</a:t>
                </a:r>
              </a:p>
            </c:rich>
          </c:tx>
        </c:title>
        <c:numFmt formatCode="General" sourceLinked="1"/>
        <c:tickLblPos val="nextTo"/>
        <c:crossAx val="102137216"/>
        <c:crosses val="autoZero"/>
        <c:crossBetween val="between"/>
      </c:valAx>
    </c:plotArea>
    <c:legend>
      <c:legendPos val="t"/>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n-US"/>
  <c:chart>
    <c:plotArea>
      <c:layout/>
      <c:lineChart>
        <c:grouping val="standard"/>
        <c:ser>
          <c:idx val="0"/>
          <c:order val="0"/>
          <c:tx>
            <c:strRef>
              <c:f>Sheet1!$C$553</c:f>
              <c:strCache>
                <c:ptCount val="1"/>
                <c:pt idx="0">
                  <c:v>Control</c:v>
                </c:pt>
              </c:strCache>
            </c:strRef>
          </c:tx>
          <c:spPr>
            <a:ln w="19050"/>
          </c:spPr>
          <c:marker>
            <c:symbol val="none"/>
          </c:marker>
          <c:val>
            <c:numRef>
              <c:f>Sheet1!$C$554:$C$577</c:f>
              <c:numCache>
                <c:formatCode>General</c:formatCode>
                <c:ptCount val="24"/>
                <c:pt idx="0">
                  <c:v>0.95125859999999951</c:v>
                </c:pt>
                <c:pt idx="1">
                  <c:v>0.81349919999999998</c:v>
                </c:pt>
                <c:pt idx="2">
                  <c:v>0.72985670000000002</c:v>
                </c:pt>
                <c:pt idx="3">
                  <c:v>0.66950480000000245</c:v>
                </c:pt>
                <c:pt idx="4">
                  <c:v>0.63923289999999999</c:v>
                </c:pt>
                <c:pt idx="5">
                  <c:v>0.64091319999999996</c:v>
                </c:pt>
                <c:pt idx="6">
                  <c:v>0.68827099999999997</c:v>
                </c:pt>
                <c:pt idx="7">
                  <c:v>0.74746309999999949</c:v>
                </c:pt>
                <c:pt idx="8">
                  <c:v>0.80483930000000004</c:v>
                </c:pt>
                <c:pt idx="9">
                  <c:v>0.88828269999999743</c:v>
                </c:pt>
                <c:pt idx="10">
                  <c:v>1.0021229999999999</c:v>
                </c:pt>
                <c:pt idx="11">
                  <c:v>1.142978</c:v>
                </c:pt>
                <c:pt idx="12">
                  <c:v>1.316937</c:v>
                </c:pt>
                <c:pt idx="13">
                  <c:v>1.4755139999999998</c:v>
                </c:pt>
                <c:pt idx="14">
                  <c:v>1.625842</c:v>
                </c:pt>
                <c:pt idx="15">
                  <c:v>1.7577289999999945</c:v>
                </c:pt>
                <c:pt idx="16">
                  <c:v>1.8939109999999999</c:v>
                </c:pt>
                <c:pt idx="17">
                  <c:v>2.0056519999999987</c:v>
                </c:pt>
                <c:pt idx="18">
                  <c:v>2.0695869999999998</c:v>
                </c:pt>
                <c:pt idx="19">
                  <c:v>2.0079340000000112</c:v>
                </c:pt>
                <c:pt idx="20">
                  <c:v>1.902609</c:v>
                </c:pt>
                <c:pt idx="21">
                  <c:v>1.807229999999995</c:v>
                </c:pt>
                <c:pt idx="22">
                  <c:v>1.5547979999999999</c:v>
                </c:pt>
                <c:pt idx="23">
                  <c:v>1.27854</c:v>
                </c:pt>
              </c:numCache>
            </c:numRef>
          </c:val>
        </c:ser>
        <c:ser>
          <c:idx val="1"/>
          <c:order val="1"/>
          <c:tx>
            <c:strRef>
              <c:f>Sheet1!$D$553</c:f>
              <c:strCache>
                <c:ptCount val="1"/>
                <c:pt idx="0">
                  <c:v>Control, Adjusted</c:v>
                </c:pt>
              </c:strCache>
            </c:strRef>
          </c:tx>
          <c:spPr>
            <a:ln w="19050">
              <a:solidFill>
                <a:schemeClr val="accent1"/>
              </a:solidFill>
              <a:prstDash val="dash"/>
            </a:ln>
          </c:spPr>
          <c:marker>
            <c:symbol val="none"/>
          </c:marker>
          <c:val>
            <c:numRef>
              <c:f>Sheet1!$D$554:$D$577</c:f>
              <c:numCache>
                <c:formatCode>General</c:formatCode>
                <c:ptCount val="24"/>
                <c:pt idx="0">
                  <c:v>0.95370699999999997</c:v>
                </c:pt>
                <c:pt idx="1">
                  <c:v>0.81558249999999766</c:v>
                </c:pt>
                <c:pt idx="2">
                  <c:v>0.73187190000000246</c:v>
                </c:pt>
                <c:pt idx="3">
                  <c:v>0.67155460000000244</c:v>
                </c:pt>
                <c:pt idx="4">
                  <c:v>0.64135580000000292</c:v>
                </c:pt>
                <c:pt idx="5">
                  <c:v>0.64346829999999999</c:v>
                </c:pt>
                <c:pt idx="6">
                  <c:v>0.69153679999999706</c:v>
                </c:pt>
                <c:pt idx="7">
                  <c:v>0.75130200000000003</c:v>
                </c:pt>
                <c:pt idx="8">
                  <c:v>0.80874690000000005</c:v>
                </c:pt>
                <c:pt idx="9">
                  <c:v>0.89194479999999998</c:v>
                </c:pt>
                <c:pt idx="10">
                  <c:v>1.0055409999999998</c:v>
                </c:pt>
                <c:pt idx="11">
                  <c:v>1.1461780000000001</c:v>
                </c:pt>
                <c:pt idx="12">
                  <c:v>1.3199629999999998</c:v>
                </c:pt>
                <c:pt idx="13">
                  <c:v>1.478413</c:v>
                </c:pt>
                <c:pt idx="14">
                  <c:v>1.628714</c:v>
                </c:pt>
                <c:pt idx="15">
                  <c:v>1.761012</c:v>
                </c:pt>
                <c:pt idx="16">
                  <c:v>1.897818</c:v>
                </c:pt>
                <c:pt idx="17">
                  <c:v>2.0102569999999913</c:v>
                </c:pt>
                <c:pt idx="18">
                  <c:v>2.0749279999999999</c:v>
                </c:pt>
                <c:pt idx="19">
                  <c:v>2.0138829999999968</c:v>
                </c:pt>
                <c:pt idx="20">
                  <c:v>1.9087170000000049</c:v>
                </c:pt>
                <c:pt idx="21">
                  <c:v>1.8132359999999998</c:v>
                </c:pt>
                <c:pt idx="22">
                  <c:v>1.559912</c:v>
                </c:pt>
                <c:pt idx="23">
                  <c:v>1.282284</c:v>
                </c:pt>
              </c:numCache>
            </c:numRef>
          </c:val>
        </c:ser>
        <c:ser>
          <c:idx val="2"/>
          <c:order val="2"/>
          <c:tx>
            <c:strRef>
              <c:f>Sheet1!$E$553</c:f>
              <c:strCache>
                <c:ptCount val="1"/>
                <c:pt idx="0">
                  <c:v>SmartRate</c:v>
                </c:pt>
              </c:strCache>
            </c:strRef>
          </c:tx>
          <c:spPr>
            <a:ln w="19050">
              <a:solidFill>
                <a:schemeClr val="accent2"/>
              </a:solidFill>
            </a:ln>
          </c:spPr>
          <c:marker>
            <c:symbol val="none"/>
          </c:marker>
          <c:val>
            <c:numRef>
              <c:f>Sheet1!$E$554:$E$577</c:f>
              <c:numCache>
                <c:formatCode>General</c:formatCode>
                <c:ptCount val="24"/>
                <c:pt idx="0">
                  <c:v>0.97296539999999998</c:v>
                </c:pt>
                <c:pt idx="1">
                  <c:v>0.83044260000000003</c:v>
                </c:pt>
                <c:pt idx="2">
                  <c:v>0.73573239999999951</c:v>
                </c:pt>
                <c:pt idx="3">
                  <c:v>0.67454480000000305</c:v>
                </c:pt>
                <c:pt idx="4">
                  <c:v>0.63848110000000002</c:v>
                </c:pt>
                <c:pt idx="5">
                  <c:v>0.64622770000000063</c:v>
                </c:pt>
                <c:pt idx="6">
                  <c:v>0.69991409999999998</c:v>
                </c:pt>
                <c:pt idx="7">
                  <c:v>0.78307749999999998</c:v>
                </c:pt>
                <c:pt idx="8">
                  <c:v>0.84743539999999951</c:v>
                </c:pt>
                <c:pt idx="9">
                  <c:v>0.92931560000000002</c:v>
                </c:pt>
                <c:pt idx="10">
                  <c:v>1.046314</c:v>
                </c:pt>
                <c:pt idx="11">
                  <c:v>1.1895209999999998</c:v>
                </c:pt>
                <c:pt idx="12">
                  <c:v>1.3428959999999999</c:v>
                </c:pt>
                <c:pt idx="13">
                  <c:v>1.465973999999995</c:v>
                </c:pt>
                <c:pt idx="14">
                  <c:v>1.3799779999999999</c:v>
                </c:pt>
                <c:pt idx="15">
                  <c:v>1.4551139999999998</c:v>
                </c:pt>
                <c:pt idx="16">
                  <c:v>1.5719649999999936</c:v>
                </c:pt>
                <c:pt idx="17">
                  <c:v>1.6705399999999999</c:v>
                </c:pt>
                <c:pt idx="18">
                  <c:v>1.7181999999999955</c:v>
                </c:pt>
                <c:pt idx="19">
                  <c:v>1.96991</c:v>
                </c:pt>
                <c:pt idx="20">
                  <c:v>1.9789369999999999</c:v>
                </c:pt>
                <c:pt idx="21">
                  <c:v>1.9138770000000001</c:v>
                </c:pt>
                <c:pt idx="22">
                  <c:v>1.6431169999999999</c:v>
                </c:pt>
                <c:pt idx="23">
                  <c:v>1.3252459999999999</c:v>
                </c:pt>
              </c:numCache>
            </c:numRef>
          </c:val>
        </c:ser>
        <c:dLbls/>
        <c:marker val="1"/>
        <c:axId val="102258176"/>
        <c:axId val="102260096"/>
      </c:lineChart>
      <c:catAx>
        <c:axId val="102258176"/>
        <c:scaling>
          <c:orientation val="minMax"/>
        </c:scaling>
        <c:axPos val="b"/>
        <c:title>
          <c:tx>
            <c:rich>
              <a:bodyPr/>
              <a:lstStyle/>
              <a:p>
                <a:pPr>
                  <a:defRPr sz="1050">
                    <a:latin typeface="Arial" pitchFamily="34" charset="0"/>
                    <a:cs typeface="Arial" pitchFamily="34" charset="0"/>
                  </a:defRPr>
                </a:pPr>
                <a:r>
                  <a:rPr lang="en-US" sz="1050">
                    <a:latin typeface="Arial" pitchFamily="34" charset="0"/>
                    <a:cs typeface="Arial" pitchFamily="34" charset="0"/>
                  </a:rPr>
                  <a:t>Hour Ending</a:t>
                </a:r>
              </a:p>
            </c:rich>
          </c:tx>
        </c:title>
        <c:tickLblPos val="nextTo"/>
        <c:crossAx val="102260096"/>
        <c:crosses val="autoZero"/>
        <c:auto val="1"/>
        <c:lblAlgn val="ctr"/>
        <c:lblOffset val="100"/>
      </c:catAx>
      <c:valAx>
        <c:axId val="102260096"/>
        <c:scaling>
          <c:orientation val="minMax"/>
        </c:scaling>
        <c:axPos val="l"/>
        <c:majorGridlines/>
        <c:title>
          <c:tx>
            <c:rich>
              <a:bodyPr rot="-5400000" vert="horz"/>
              <a:lstStyle/>
              <a:p>
                <a:pPr>
                  <a:defRPr sz="1050">
                    <a:latin typeface="Arial" pitchFamily="34" charset="0"/>
                    <a:cs typeface="Arial" pitchFamily="34" charset="0"/>
                  </a:defRPr>
                </a:pPr>
                <a:r>
                  <a:rPr lang="en-US" sz="1050">
                    <a:latin typeface="Arial" pitchFamily="34" charset="0"/>
                    <a:cs typeface="Arial" pitchFamily="34" charset="0"/>
                  </a:rPr>
                  <a:t>kW</a:t>
                </a:r>
              </a:p>
            </c:rich>
          </c:tx>
        </c:title>
        <c:numFmt formatCode="General" sourceLinked="1"/>
        <c:tickLblPos val="nextTo"/>
        <c:crossAx val="102258176"/>
        <c:crosses val="autoZero"/>
        <c:crossBetween val="between"/>
      </c:valAx>
    </c:plotArea>
    <c:legend>
      <c:legendPos val="t"/>
      <c:txPr>
        <a:bodyPr/>
        <a:lstStyle/>
        <a:p>
          <a:pPr>
            <a:defRPr sz="1400">
              <a:latin typeface="Arial" pitchFamily="34" charset="0"/>
              <a:cs typeface="Arial" pitchFamily="34" charset="0"/>
            </a:defRPr>
          </a:pPr>
          <a:endParaRPr lang="en-US"/>
        </a:p>
      </c:tx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en-US"/>
  <c:clrMapOvr bg1="lt1" tx1="dk1" bg2="lt2" tx2="dk2" accent1="accent1" accent2="accent2" accent3="accent3" accent4="accent4" accent5="accent5" accent6="accent6" hlink="hlink" folHlink="folHlink"/>
  <c:chart>
    <c:plotArea>
      <c:layout/>
      <c:scatterChart>
        <c:scatterStyle val="lineMarker"/>
        <c:ser>
          <c:idx val="2"/>
          <c:order val="0"/>
          <c:tx>
            <c:v>2011 Singly Enrolled</c:v>
          </c:tx>
          <c:spPr>
            <a:ln w="28575">
              <a:noFill/>
            </a:ln>
          </c:spPr>
          <c:marker>
            <c:symbol val="triangle"/>
            <c:size val="7"/>
          </c:marker>
          <c:xVal>
            <c:numRef>
              <c:f>Sheet1!$J$123:$J$137</c:f>
              <c:numCache>
                <c:formatCode>0</c:formatCode>
                <c:ptCount val="15"/>
                <c:pt idx="0">
                  <c:v>97.49912500000039</c:v>
                </c:pt>
                <c:pt idx="1">
                  <c:v>92.826049999999981</c:v>
                </c:pt>
                <c:pt idx="2">
                  <c:v>94.832124999999976</c:v>
                </c:pt>
                <c:pt idx="3">
                  <c:v>94.140974999999983</c:v>
                </c:pt>
                <c:pt idx="4">
                  <c:v>90.234100000000026</c:v>
                </c:pt>
                <c:pt idx="5">
                  <c:v>88.805799999999948</c:v>
                </c:pt>
                <c:pt idx="6">
                  <c:v>87.550600000000003</c:v>
                </c:pt>
                <c:pt idx="7">
                  <c:v>87.394225000000347</c:v>
                </c:pt>
                <c:pt idx="8">
                  <c:v>92.626224999999991</c:v>
                </c:pt>
                <c:pt idx="9">
                  <c:v>88.77964999999999</c:v>
                </c:pt>
                <c:pt idx="10">
                  <c:v>90.80227499999998</c:v>
                </c:pt>
                <c:pt idx="11">
                  <c:v>90.216000000000022</c:v>
                </c:pt>
                <c:pt idx="12">
                  <c:v>93.622774999999478</c:v>
                </c:pt>
                <c:pt idx="13">
                  <c:v>87.603999999999985</c:v>
                </c:pt>
                <c:pt idx="14">
                  <c:v>93.021825000000007</c:v>
                </c:pt>
              </c:numCache>
            </c:numRef>
          </c:xVal>
          <c:yVal>
            <c:numRef>
              <c:f>Sheet1!$H$123:$H$137</c:f>
              <c:numCache>
                <c:formatCode>0.00</c:formatCode>
                <c:ptCount val="15"/>
                <c:pt idx="0">
                  <c:v>0.18915545000000061</c:v>
                </c:pt>
                <c:pt idx="1">
                  <c:v>0.17509067499999995</c:v>
                </c:pt>
                <c:pt idx="2">
                  <c:v>0.18024060000000044</c:v>
                </c:pt>
                <c:pt idx="3">
                  <c:v>0.15657807499999998</c:v>
                </c:pt>
                <c:pt idx="4">
                  <c:v>0.17752382499999997</c:v>
                </c:pt>
                <c:pt idx="5">
                  <c:v>0.14556392499999998</c:v>
                </c:pt>
                <c:pt idx="6">
                  <c:v>0.18049495000000082</c:v>
                </c:pt>
                <c:pt idx="7">
                  <c:v>0.14395632500000041</c:v>
                </c:pt>
                <c:pt idx="8">
                  <c:v>0.16544797500000041</c:v>
                </c:pt>
                <c:pt idx="9">
                  <c:v>0.16102577499999987</c:v>
                </c:pt>
                <c:pt idx="10">
                  <c:v>0.16473782499999998</c:v>
                </c:pt>
                <c:pt idx="11">
                  <c:v>0.13300524999999999</c:v>
                </c:pt>
                <c:pt idx="12">
                  <c:v>0.17481822499999999</c:v>
                </c:pt>
                <c:pt idx="13">
                  <c:v>0.14886269999999999</c:v>
                </c:pt>
                <c:pt idx="14">
                  <c:v>0.17601127499999999</c:v>
                </c:pt>
              </c:numCache>
            </c:numRef>
          </c:yVal>
        </c:ser>
        <c:ser>
          <c:idx val="3"/>
          <c:order val="1"/>
          <c:tx>
            <c:v>2011 Dually Enrolled</c:v>
          </c:tx>
          <c:spPr>
            <a:ln w="28575">
              <a:noFill/>
            </a:ln>
          </c:spPr>
          <c:marker>
            <c:symbol val="triangle"/>
            <c:size val="7"/>
            <c:spPr>
              <a:solidFill>
                <a:schemeClr val="accent6"/>
              </a:solidFill>
              <a:ln>
                <a:noFill/>
              </a:ln>
            </c:spPr>
          </c:marker>
          <c:xVal>
            <c:numRef>
              <c:f>Sheet1!$M$123:$M$137</c:f>
              <c:numCache>
                <c:formatCode>0</c:formatCode>
                <c:ptCount val="15"/>
                <c:pt idx="0">
                  <c:v>100.777</c:v>
                </c:pt>
                <c:pt idx="1">
                  <c:v>98.401799999999994</c:v>
                </c:pt>
                <c:pt idx="2">
                  <c:v>99.003500000000003</c:v>
                </c:pt>
                <c:pt idx="3">
                  <c:v>98.530600000000007</c:v>
                </c:pt>
                <c:pt idx="4">
                  <c:v>94.924099999999996</c:v>
                </c:pt>
                <c:pt idx="5">
                  <c:v>92.482299999999995</c:v>
                </c:pt>
                <c:pt idx="6">
                  <c:v>91.992099999999994</c:v>
                </c:pt>
                <c:pt idx="7">
                  <c:v>92.137100000000004</c:v>
                </c:pt>
                <c:pt idx="8">
                  <c:v>95.132599999999982</c:v>
                </c:pt>
                <c:pt idx="9">
                  <c:v>93.512900000000002</c:v>
                </c:pt>
                <c:pt idx="10">
                  <c:v>94.758899999999983</c:v>
                </c:pt>
                <c:pt idx="11">
                  <c:v>94.563000000000002</c:v>
                </c:pt>
                <c:pt idx="12">
                  <c:v>96.125899999999959</c:v>
                </c:pt>
                <c:pt idx="13">
                  <c:v>92.897000000000006</c:v>
                </c:pt>
                <c:pt idx="14">
                  <c:v>95.290700000000001</c:v>
                </c:pt>
              </c:numCache>
            </c:numRef>
          </c:xVal>
          <c:yVal>
            <c:numRef>
              <c:f>Sheet1!$K$123:$K$137</c:f>
              <c:numCache>
                <c:formatCode>0.00</c:formatCode>
                <c:ptCount val="15"/>
                <c:pt idx="0">
                  <c:v>0.82005119999999998</c:v>
                </c:pt>
                <c:pt idx="1">
                  <c:v>0.77436530000000003</c:v>
                </c:pt>
                <c:pt idx="2">
                  <c:v>0.75791810000000004</c:v>
                </c:pt>
                <c:pt idx="3">
                  <c:v>0.70357820000000004</c:v>
                </c:pt>
                <c:pt idx="4">
                  <c:v>0.53157269999999957</c:v>
                </c:pt>
                <c:pt idx="5">
                  <c:v>0.5921647999999966</c:v>
                </c:pt>
                <c:pt idx="6">
                  <c:v>0.40178970000000008</c:v>
                </c:pt>
                <c:pt idx="7">
                  <c:v>0.40191220000000116</c:v>
                </c:pt>
                <c:pt idx="8">
                  <c:v>0.48422860000000134</c:v>
                </c:pt>
                <c:pt idx="9">
                  <c:v>0.44139640000000002</c:v>
                </c:pt>
                <c:pt idx="10">
                  <c:v>0.48122070000000117</c:v>
                </c:pt>
                <c:pt idx="11">
                  <c:v>0.45619600000000005</c:v>
                </c:pt>
                <c:pt idx="12">
                  <c:v>0.46841360000000032</c:v>
                </c:pt>
                <c:pt idx="13">
                  <c:v>0.43767770000000117</c:v>
                </c:pt>
                <c:pt idx="14">
                  <c:v>0.51179540000000256</c:v>
                </c:pt>
              </c:numCache>
            </c:numRef>
          </c:yVal>
        </c:ser>
        <c:ser>
          <c:idx val="0"/>
          <c:order val="2"/>
          <c:tx>
            <c:v>2012 Singly Enrolled</c:v>
          </c:tx>
          <c:spPr>
            <a:ln w="28575">
              <a:noFill/>
            </a:ln>
          </c:spPr>
          <c:xVal>
            <c:numRef>
              <c:f>Sheet1!$G$107:$G$116</c:f>
              <c:numCache>
                <c:formatCode>0</c:formatCode>
                <c:ptCount val="10"/>
                <c:pt idx="0">
                  <c:v>86.710700000000003</c:v>
                </c:pt>
                <c:pt idx="1">
                  <c:v>92.626399999999919</c:v>
                </c:pt>
                <c:pt idx="2">
                  <c:v>94.577399999999983</c:v>
                </c:pt>
                <c:pt idx="3">
                  <c:v>86.330500000000001</c:v>
                </c:pt>
                <c:pt idx="4">
                  <c:v>84.697900000000004</c:v>
                </c:pt>
                <c:pt idx="5">
                  <c:v>85.412600000000026</c:v>
                </c:pt>
                <c:pt idx="6">
                  <c:v>83.945499999999996</c:v>
                </c:pt>
                <c:pt idx="7">
                  <c:v>93.478399999999979</c:v>
                </c:pt>
                <c:pt idx="8">
                  <c:v>94.851100000000002</c:v>
                </c:pt>
                <c:pt idx="9">
                  <c:v>86.973399999999998</c:v>
                </c:pt>
              </c:numCache>
            </c:numRef>
          </c:xVal>
          <c:yVal>
            <c:numRef>
              <c:f>Sheet1!$E$107:$E$116</c:f>
              <c:numCache>
                <c:formatCode>0.00</c:formatCode>
                <c:ptCount val="10"/>
                <c:pt idx="0">
                  <c:v>0.25558080000000116</c:v>
                </c:pt>
                <c:pt idx="1">
                  <c:v>0.2650091</c:v>
                </c:pt>
                <c:pt idx="2">
                  <c:v>0.31538610000000233</c:v>
                </c:pt>
                <c:pt idx="3">
                  <c:v>0.24505430000000061</c:v>
                </c:pt>
                <c:pt idx="4">
                  <c:v>0.17767920000000001</c:v>
                </c:pt>
                <c:pt idx="5">
                  <c:v>0.16413369999999997</c:v>
                </c:pt>
                <c:pt idx="6">
                  <c:v>0.14903980000000044</c:v>
                </c:pt>
                <c:pt idx="7">
                  <c:v>0.22238840000000001</c:v>
                </c:pt>
                <c:pt idx="8">
                  <c:v>0.20754440000000096</c:v>
                </c:pt>
                <c:pt idx="9">
                  <c:v>0.16278980000000001</c:v>
                </c:pt>
              </c:numCache>
            </c:numRef>
          </c:yVal>
        </c:ser>
        <c:ser>
          <c:idx val="1"/>
          <c:order val="3"/>
          <c:tx>
            <c:v>2012 Dually Enrolled</c:v>
          </c:tx>
          <c:spPr>
            <a:ln w="28575">
              <a:noFill/>
            </a:ln>
          </c:spPr>
          <c:marker>
            <c:symbol val="diamond"/>
            <c:size val="7"/>
          </c:marker>
          <c:xVal>
            <c:numRef>
              <c:f>Sheet1!$J$107:$J$116</c:f>
              <c:numCache>
                <c:formatCode>0</c:formatCode>
                <c:ptCount val="10"/>
                <c:pt idx="0">
                  <c:v>87.7864</c:v>
                </c:pt>
                <c:pt idx="1">
                  <c:v>95.184699999999992</c:v>
                </c:pt>
                <c:pt idx="2">
                  <c:v>97.756</c:v>
                </c:pt>
                <c:pt idx="3">
                  <c:v>86.495599999999996</c:v>
                </c:pt>
                <c:pt idx="4">
                  <c:v>87.269400000000005</c:v>
                </c:pt>
                <c:pt idx="5">
                  <c:v>88.421899999999994</c:v>
                </c:pt>
                <c:pt idx="6">
                  <c:v>86.15349999999998</c:v>
                </c:pt>
                <c:pt idx="7">
                  <c:v>95.096300000000014</c:v>
                </c:pt>
                <c:pt idx="8">
                  <c:v>96.531300000000002</c:v>
                </c:pt>
                <c:pt idx="9">
                  <c:v>89.249300000000005</c:v>
                </c:pt>
              </c:numCache>
            </c:numRef>
          </c:xVal>
          <c:yVal>
            <c:numRef>
              <c:f>Sheet1!$H$107:$H$116</c:f>
              <c:numCache>
                <c:formatCode>0.00</c:formatCode>
                <c:ptCount val="10"/>
                <c:pt idx="0">
                  <c:v>0.47748120000000038</c:v>
                </c:pt>
                <c:pt idx="1">
                  <c:v>0.48541260000000186</c:v>
                </c:pt>
                <c:pt idx="2">
                  <c:v>0.5564346999999995</c:v>
                </c:pt>
                <c:pt idx="3">
                  <c:v>0.41055610000000031</c:v>
                </c:pt>
                <c:pt idx="4">
                  <c:v>0.37933080000000152</c:v>
                </c:pt>
                <c:pt idx="5">
                  <c:v>0.38084140000000088</c:v>
                </c:pt>
                <c:pt idx="6">
                  <c:v>0.35478050000000116</c:v>
                </c:pt>
                <c:pt idx="7">
                  <c:v>0.45081070000000134</c:v>
                </c:pt>
                <c:pt idx="8">
                  <c:v>0.43096430000000152</c:v>
                </c:pt>
                <c:pt idx="9">
                  <c:v>0.34582030000000152</c:v>
                </c:pt>
              </c:numCache>
            </c:numRef>
          </c:yVal>
        </c:ser>
        <c:dLbls/>
        <c:axId val="117131136"/>
        <c:axId val="117141504"/>
      </c:scatterChart>
      <c:valAx>
        <c:axId val="117131136"/>
        <c:scaling>
          <c:orientation val="minMax"/>
          <c:min val="80"/>
        </c:scaling>
        <c:axPos val="b"/>
        <c:title>
          <c:tx>
            <c:rich>
              <a:bodyPr/>
              <a:lstStyle/>
              <a:p>
                <a:pPr>
                  <a:defRPr>
                    <a:latin typeface="Arial" pitchFamily="34" charset="0"/>
                    <a:cs typeface="Arial" pitchFamily="34" charset="0"/>
                  </a:defRPr>
                </a:pPr>
                <a:r>
                  <a:rPr lang="en-US">
                    <a:latin typeface="Arial" pitchFamily="34" charset="0"/>
                    <a:cs typeface="Arial" pitchFamily="34" charset="0"/>
                  </a:rPr>
                  <a:t>Event Temperature (°F)</a:t>
                </a:r>
              </a:p>
            </c:rich>
          </c:tx>
        </c:title>
        <c:numFmt formatCode="0" sourceLinked="1"/>
        <c:tickLblPos val="nextTo"/>
        <c:crossAx val="117141504"/>
        <c:crosses val="autoZero"/>
        <c:crossBetween val="midCat"/>
      </c:valAx>
      <c:valAx>
        <c:axId val="117141504"/>
        <c:scaling>
          <c:orientation val="minMax"/>
        </c:scaling>
        <c:axPos val="l"/>
        <c:majorGridlines/>
        <c:title>
          <c:tx>
            <c:rich>
              <a:bodyPr rot="-5400000" vert="horz"/>
              <a:lstStyle/>
              <a:p>
                <a:pPr>
                  <a:defRPr>
                    <a:latin typeface="Arial" pitchFamily="34" charset="0"/>
                    <a:cs typeface="Arial" pitchFamily="34" charset="0"/>
                  </a:defRPr>
                </a:pPr>
                <a:r>
                  <a:rPr lang="en-US">
                    <a:latin typeface="Arial" pitchFamily="34" charset="0"/>
                    <a:cs typeface="Arial" pitchFamily="34" charset="0"/>
                  </a:rPr>
                  <a:t>Event Impact (kW)</a:t>
                </a:r>
              </a:p>
            </c:rich>
          </c:tx>
        </c:title>
        <c:numFmt formatCode="0.0" sourceLinked="0"/>
        <c:tickLblPos val="nextTo"/>
        <c:crossAx val="117131136"/>
        <c:crosses val="autoZero"/>
        <c:crossBetween val="midCat"/>
      </c:valAx>
    </c:plotArea>
    <c:legend>
      <c:legendPos val="t"/>
      <c:txPr>
        <a:bodyPr/>
        <a:lstStyle/>
        <a:p>
          <a:pPr>
            <a:defRPr>
              <a:latin typeface="Arial" pitchFamily="34" charset="0"/>
              <a:cs typeface="Arial" pitchFamily="34" charset="0"/>
            </a:defRPr>
          </a:pPr>
          <a:endParaRPr lang="en-US"/>
        </a:p>
      </c:txPr>
    </c:legend>
    <c:plotVisOnly val="1"/>
    <c:dispBlanksAs val="gap"/>
  </c:chart>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842C78-594E-46E9-AC95-49F3E81D1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105</Pages>
  <Words>26396</Words>
  <Characters>150458</Characters>
  <Application>Microsoft Office Word</Application>
  <DocSecurity>0</DocSecurity>
  <Lines>1253</Lines>
  <Paragraphs>353</Paragraphs>
  <ScaleCrop>false</ScaleCrop>
  <HeadingPairs>
    <vt:vector size="2" baseType="variant">
      <vt:variant>
        <vt:lpstr>Title</vt:lpstr>
      </vt:variant>
      <vt:variant>
        <vt:i4>1</vt:i4>
      </vt:variant>
    </vt:vector>
  </HeadingPairs>
  <TitlesOfParts>
    <vt:vector size="1" baseType="lpstr">
      <vt:lpstr/>
    </vt:vector>
  </TitlesOfParts>
  <Company>FSC Group</Company>
  <LinksUpToDate>false</LinksUpToDate>
  <CharactersWithSpaces>176501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Rohde</dc:creator>
  <cp:lastModifiedBy>mperry</cp:lastModifiedBy>
  <cp:revision>3</cp:revision>
  <cp:lastPrinted>2013-03-14T01:01:00Z</cp:lastPrinted>
  <dcterms:created xsi:type="dcterms:W3CDTF">2013-04-01T15:12:00Z</dcterms:created>
  <dcterms:modified xsi:type="dcterms:W3CDTF">2013-04-01T15:12:00Z</dcterms:modified>
</cp:coreProperties>
</file>